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1440"/>
      </w:pPr>
    </w:p>
    <w:p>
      <w:pPr>
        <w:spacing w:after="120" w:before="0"/>
        <w:jc w:val="center"/>
      </w:pPr>
      <w:r>
        <w:rPr>
          <w:rFonts w:ascii="Arial" w:cs="Arial" w:eastAsia="Arial" w:hAnsi="Arial"/>
          <w:b/>
          <w:bCs/>
          <w:color w:val="1F4E79"/>
          <w:sz w:val="52"/>
          <w:szCs w:val="52"/>
        </w:rPr>
        <w:t xml:space="preserve">MALWARE ANALYSIS REPORT</w:t>
      </w:r>
    </w:p>
    <w:p>
      <w:pPr>
        <w:pBdr>
          <w:bottom w:val="single" w:color="2E75B6" w:sz="8" w:space="4"/>
        </w:pBdr>
        <w:spacing w:after="240" w:before="0"/>
        <w:jc w:val="center"/>
      </w:pPr>
      <w:r>
        <w:rPr>
          <w:rFonts w:ascii="Arial" w:cs="Arial" w:eastAsia="Arial" w:hAnsi="Arial"/>
          <w:b/>
          <w:bCs/>
          <w:color w:val="2E75B6"/>
          <w:sz w:val="36"/>
          <w:szCs w:val="36"/>
        </w:rPr>
        <w:t xml:space="preserve">LunaStealer / LunaGrabber</w:t>
      </w:r>
    </w:p>
    <w:p>
      <w:pPr>
        <w:spacing w:after="80" w:before="80"/>
      </w:pPr>
    </w:p>
    <w:tbl>
      <w:tblPr>
        <w:tblW w:type="dxa" w:w="6480"/>
        <w:tblBorders>
          <w:top w:val="single" w:color="auto" w:sz="4"/>
          <w:left w:val="single" w:color="auto" w:sz="4"/>
          <w:bottom w:val="single" w:color="auto" w:sz="4"/>
          <w:right w:val="single" w:color="auto" w:sz="4"/>
          <w:insideH w:val="single" w:color="auto" w:sz="4"/>
          <w:insideV w:val="single" w:color="auto" w:sz="4"/>
        </w:tblBorders>
      </w:tblPr>
      <w:tblGrid>
        <w:gridCol w:w="2200"/>
        <w:gridCol w:w="4280"/>
      </w:tblGrid>
      <w:tr>
        <w:tc>
          <w:tcPr>
            <w:tcW w:type="dxa" w:w="2200"/>
            <w:tcBorders>
              <w:top w:val="single" w:color="CCCCCC" w:sz="1"/>
              <w:left w:val="single" w:color="CCCCCC" w:sz="1"/>
              <w:bottom w:val="single" w:color="CCCCCC" w:sz="1"/>
              <w:right w:val="single" w:color="CCCCCC" w:sz="1"/>
            </w:tcBorders>
            <w:shd w:fill="EBF3FA" w:val="clear"/>
            <w:tcMar>
              <w:top w:type="dxa" w:w="80"/>
              <w:left w:type="dxa" w:w="120"/>
              <w:bottom w:type="dxa" w:w="80"/>
              <w:right w:type="dxa" w:w="120"/>
            </w:tcMar>
          </w:tcPr>
          <w:p>
            <w:r>
              <w:rPr>
                <w:rFonts w:ascii="Arial" w:cs="Arial" w:eastAsia="Arial" w:hAnsi="Arial"/>
                <w:b/>
                <w:bCs/>
                <w:sz w:val="22"/>
                <w:szCs w:val="22"/>
              </w:rPr>
              <w:t xml:space="preserve">Classification</w:t>
            </w:r>
          </w:p>
        </w:tc>
        <w:tc>
          <w:tcPr>
            <w:tcW w:type="dxa" w:w="4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2"/>
                <w:szCs w:val="22"/>
              </w:rPr>
              <w:t xml:space="preserve">Infostealer / Dropper</w:t>
            </w:r>
          </w:p>
        </w:tc>
      </w:tr>
      <w:tr>
        <w:tc>
          <w:tcPr>
            <w:tcW w:type="dxa" w:w="2200"/>
            <w:tcBorders>
              <w:top w:val="single" w:color="CCCCCC" w:sz="1"/>
              <w:left w:val="single" w:color="CCCCCC" w:sz="1"/>
              <w:bottom w:val="single" w:color="CCCCCC" w:sz="1"/>
              <w:right w:val="single" w:color="CCCCCC" w:sz="1"/>
            </w:tcBorders>
            <w:shd w:fill="EBF3FA" w:val="clear"/>
            <w:tcMar>
              <w:top w:type="dxa" w:w="80"/>
              <w:left w:type="dxa" w:w="120"/>
              <w:bottom w:type="dxa" w:w="80"/>
              <w:right w:type="dxa" w:w="120"/>
            </w:tcMar>
          </w:tcPr>
          <w:p>
            <w:r>
              <w:rPr>
                <w:rFonts w:ascii="Arial" w:cs="Arial" w:eastAsia="Arial" w:hAnsi="Arial"/>
                <w:b/>
                <w:bCs/>
                <w:sz w:val="22"/>
                <w:szCs w:val="22"/>
              </w:rPr>
              <w:t xml:space="preserve">Analyst</w:t>
            </w:r>
          </w:p>
        </w:tc>
        <w:tc>
          <w:tcPr>
            <w:tcW w:type="dxa" w:w="4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2"/>
                <w:szCs w:val="22"/>
              </w:rPr>
              <w:t xml:space="preserve">Doug Metz, Sr. Security Forensics Specialist</w:t>
            </w:r>
          </w:p>
        </w:tc>
      </w:tr>
      <w:tr>
        <w:tc>
          <w:tcPr>
            <w:tcW w:type="dxa" w:w="2200"/>
            <w:tcBorders>
              <w:top w:val="single" w:color="CCCCCC" w:sz="1"/>
              <w:left w:val="single" w:color="CCCCCC" w:sz="1"/>
              <w:bottom w:val="single" w:color="CCCCCC" w:sz="1"/>
              <w:right w:val="single" w:color="CCCCCC" w:sz="1"/>
            </w:tcBorders>
            <w:shd w:fill="EBF3FA" w:val="clear"/>
            <w:tcMar>
              <w:top w:type="dxa" w:w="80"/>
              <w:left w:type="dxa" w:w="120"/>
              <w:bottom w:type="dxa" w:w="80"/>
              <w:right w:type="dxa" w:w="120"/>
            </w:tcMar>
          </w:tcPr>
          <w:p>
            <w:r>
              <w:rPr>
                <w:rFonts w:ascii="Arial" w:cs="Arial" w:eastAsia="Arial" w:hAnsi="Arial"/>
                <w:b/>
                <w:bCs/>
                <w:sz w:val="22"/>
                <w:szCs w:val="22"/>
              </w:rPr>
              <w:t xml:space="preserve">Organization</w:t>
            </w:r>
          </w:p>
        </w:tc>
        <w:tc>
          <w:tcPr>
            <w:tcW w:type="dxa" w:w="4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2"/>
                <w:szCs w:val="22"/>
              </w:rPr>
              <w:t xml:space="preserve">Magnet Forensics</w:t>
            </w:r>
          </w:p>
        </w:tc>
      </w:tr>
      <w:tr>
        <w:tc>
          <w:tcPr>
            <w:tcW w:type="dxa" w:w="2200"/>
            <w:tcBorders>
              <w:top w:val="single" w:color="CCCCCC" w:sz="1"/>
              <w:left w:val="single" w:color="CCCCCC" w:sz="1"/>
              <w:bottom w:val="single" w:color="CCCCCC" w:sz="1"/>
              <w:right w:val="single" w:color="CCCCCC" w:sz="1"/>
            </w:tcBorders>
            <w:shd w:fill="EBF3FA" w:val="clear"/>
            <w:tcMar>
              <w:top w:type="dxa" w:w="80"/>
              <w:left w:type="dxa" w:w="120"/>
              <w:bottom w:type="dxa" w:w="80"/>
              <w:right w:type="dxa" w:w="120"/>
            </w:tcMar>
          </w:tcPr>
          <w:p>
            <w:r>
              <w:rPr>
                <w:rFonts w:ascii="Arial" w:cs="Arial" w:eastAsia="Arial" w:hAnsi="Arial"/>
                <w:b/>
                <w:bCs/>
                <w:sz w:val="22"/>
                <w:szCs w:val="22"/>
              </w:rPr>
              <w:t xml:space="preserve">Date</w:t>
            </w:r>
          </w:p>
        </w:tc>
        <w:tc>
          <w:tcPr>
            <w:tcW w:type="dxa" w:w="4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2"/>
                <w:szCs w:val="22"/>
              </w:rPr>
              <w:t xml:space="preserve">2026-05-02</w:t>
            </w:r>
          </w:p>
        </w:tc>
      </w:tr>
      <w:tr>
        <w:tc>
          <w:tcPr>
            <w:tcW w:type="dxa" w:w="2200"/>
            <w:tcBorders>
              <w:top w:val="single" w:color="CCCCCC" w:sz="1"/>
              <w:left w:val="single" w:color="CCCCCC" w:sz="1"/>
              <w:bottom w:val="single" w:color="CCCCCC" w:sz="1"/>
              <w:right w:val="single" w:color="CCCCCC" w:sz="1"/>
            </w:tcBorders>
            <w:shd w:fill="EBF3FA" w:val="clear"/>
            <w:tcMar>
              <w:top w:type="dxa" w:w="80"/>
              <w:left w:type="dxa" w:w="120"/>
              <w:bottom w:type="dxa" w:w="80"/>
              <w:right w:type="dxa" w:w="120"/>
            </w:tcMar>
          </w:tcPr>
          <w:p>
            <w:r>
              <w:rPr>
                <w:rFonts w:ascii="Arial" w:cs="Arial" w:eastAsia="Arial" w:hAnsi="Arial"/>
                <w:b/>
                <w:bCs/>
                <w:sz w:val="22"/>
                <w:szCs w:val="22"/>
              </w:rPr>
              <w:t xml:space="preserve">TLP</w:t>
            </w:r>
          </w:p>
        </w:tc>
        <w:tc>
          <w:tcPr>
            <w:tcW w:type="dxa" w:w="4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2"/>
                <w:szCs w:val="22"/>
              </w:rPr>
              <w:t xml:space="preserve">TLP:WHITE</w:t>
            </w:r>
          </w:p>
        </w:tc>
      </w:tr>
    </w:tbl>
    <w:p>
      <w:r>
        <w:br w:type="page"/>
      </w:r>
    </w:p>
    <w:p>
      <w:pPr>
        <w:pStyle w:val="Heading1"/>
        <w:spacing w:after="120" w:before="360"/>
      </w:pPr>
      <w:r>
        <w:rPr>
          <w:rFonts w:ascii="Arial" w:cs="Arial" w:eastAsia="Arial" w:hAnsi="Arial"/>
          <w:b/>
          <w:bCs/>
          <w:color w:val="1F4E79"/>
          <w:sz w:val="32"/>
          <w:szCs w:val="32"/>
        </w:rPr>
        <w:t xml:space="preserve">1. Executive Summary</w:t>
      </w:r>
    </w:p>
    <w:p>
      <w:pPr>
        <w:pBdr>
          <w:bottom w:val="single" w:color="2E75B6" w:sz="4" w:space="1"/>
        </w:pBdr>
        <w:spacing w:after="120" w:before="120"/>
      </w:pPr>
    </w:p>
    <w:p>
      <w:pPr>
        <w:spacing w:after="60" w:before="60"/>
      </w:pPr>
      <w:r>
        <w:rPr>
          <w:rFonts w:ascii="Arial" w:cs="Arial" w:eastAsia="Arial" w:hAnsi="Arial"/>
          <w:sz w:val="22"/>
          <w:szCs w:val="22"/>
        </w:rPr>
        <w:t xml:space="preserve">This report documents a static malware analysis investigation of two related samples attributed to the LunaStealer / LunaGrabber malware family. Both samples are PyInstaller-compiled Windows PE executables designed to steal credentials, browser data, session tokens, and Discord accounts from victim machines.</w:t>
      </w:r>
    </w:p>
    <w:p>
      <w:pPr>
        <w:spacing w:after="80" w:before="80"/>
      </w:pPr>
    </w:p>
    <w:p>
      <w:pPr>
        <w:spacing w:after="60" w:before="60"/>
      </w:pPr>
      <w:r>
        <w:rPr>
          <w:rFonts w:ascii="Arial" w:cs="Arial" w:eastAsia="Arial" w:hAnsi="Arial"/>
          <w:sz w:val="22"/>
          <w:szCs w:val="22"/>
        </w:rPr>
        <w:t xml:space="preserve">The analysis revealed two distinct components within the same campaign: a credential-stealing payload (sdas.exe) and a more sophisticated multi-stage dropper (loader.exe) containing an LZMA-compressed second-stage payload with anti-analysis capabilities and a live Discord injection mechanism hosted on GitHub.</w:t>
      </w:r>
    </w:p>
    <w:p>
      <w:pPr>
        <w:spacing w:after="80" w:before="80"/>
      </w:pPr>
    </w:p>
    <w:p>
      <w:pPr>
        <w:spacing w:after="60" w:before="60"/>
      </w:pPr>
      <w:r>
        <w:rPr>
          <w:rFonts w:ascii="Arial" w:cs="Arial" w:eastAsia="Arial" w:hAnsi="Arial"/>
          <w:sz w:val="22"/>
          <w:szCs w:val="22"/>
        </w:rPr>
        <w:t xml:space="preserve">Key findings include a remote injection script URL, an extensive C2 IP list, anti-VM/sandbox evasion using blacklisted process names, hardware IDs, MAC addresses, and usernames, plus a self-destruct mechanism designed to eliminate forensic artifacts post-execution.</w:t>
      </w:r>
    </w:p>
    <w:p>
      <w:r>
        <w:br w:type="page"/>
      </w:r>
    </w:p>
    <w:p>
      <w:pPr>
        <w:pStyle w:val="Heading1"/>
        <w:spacing w:after="120" w:before="360"/>
      </w:pPr>
      <w:r>
        <w:rPr>
          <w:rFonts w:ascii="Arial" w:cs="Arial" w:eastAsia="Arial" w:hAnsi="Arial"/>
          <w:b/>
          <w:bCs/>
          <w:color w:val="1F4E79"/>
          <w:sz w:val="32"/>
          <w:szCs w:val="32"/>
        </w:rPr>
        <w:t xml:space="preserve">2. Sample Overview</w:t>
      </w:r>
    </w:p>
    <w:p>
      <w:pPr>
        <w:pBdr>
          <w:bottom w:val="single" w:color="2E75B6" w:sz="4" w:space="1"/>
        </w:pBdr>
        <w:spacing w:after="120" w:before="120"/>
      </w:pPr>
    </w:p>
    <w:p>
      <w:pPr>
        <w:pStyle w:val="Heading2"/>
        <w:spacing w:after="80" w:before="240"/>
      </w:pPr>
      <w:r>
        <w:rPr>
          <w:rFonts w:ascii="Arial" w:cs="Arial" w:eastAsia="Arial" w:hAnsi="Arial"/>
          <w:b/>
          <w:bCs/>
          <w:color w:val="2E75B6"/>
          <w:sz w:val="26"/>
          <w:szCs w:val="26"/>
        </w:rPr>
        <w:t xml:space="preserve">2.1 Sample 1 — sdas.exe (LunaStealer)</w:t>
      </w:r>
    </w:p>
    <w:p>
      <w:pPr>
        <w:spacing w:after="8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Property</w:t>
            </w:r>
          </w:p>
        </w:tc>
        <w:tc>
          <w:tcPr>
            <w:tcW w:type="dxa" w:w="656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Value</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SHA-256</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4f3b8971d6c985125cc2cb1fec0ac5e700219510a84f991a7481d060861ea0d0</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Filename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sdas.exe</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File Size</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47.76 MB</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File Type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Win32 PE64 EXE</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Compile Time</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2025-12-01 15:00:24 UTC</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First Seen</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2025-12-01</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Python Version</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3.13</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Packer</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PyInstaller 2.1+</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Imphash</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f3c0dbc597607baa2ea891bc3a114b19</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Entropy</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3.9 (low — uncompressed bundle)</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Code Signature</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Absent</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Family (MB)</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LunaStealer</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VT Detections</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42/71 (trojan.generickdq/python)</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HA Detections</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56 AV — Win/malicious_confidence_100%</w:t>
            </w:r>
          </w:p>
        </w:tc>
      </w:tr>
    </w:tbl>
    <w:p>
      <w:pPr>
        <w:spacing w:after="80" w:before="80"/>
      </w:pPr>
    </w:p>
    <w:p>
      <w:pPr>
        <w:pStyle w:val="Heading2"/>
        <w:spacing w:after="80" w:before="240"/>
      </w:pPr>
      <w:r>
        <w:rPr>
          <w:rFonts w:ascii="Arial" w:cs="Arial" w:eastAsia="Arial" w:hAnsi="Arial"/>
          <w:b/>
          <w:bCs/>
          <w:color w:val="2E75B6"/>
          <w:sz w:val="26"/>
          <w:szCs w:val="26"/>
        </w:rPr>
        <w:t xml:space="preserve">2.2 Sample 2 — loader.exe (LunaGrabber)</w:t>
      </w:r>
    </w:p>
    <w:p>
      <w:pPr>
        <w:spacing w:after="8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Property</w:t>
            </w:r>
          </w:p>
        </w:tc>
        <w:tc>
          <w:tcPr>
            <w:tcW w:type="dxa" w:w="656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Value</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SHA-256</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d4f57b427a281c4dc32d6b8cc12195e0ce262c9f80ac8a8505ff3a0b47536324</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Filename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loader.exe</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File Size</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22.17 MB</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File Type</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Win32 PE64 EXE</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Compile Time</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2026-01-03 03:47:13 UTC</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First Seen</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2026-01-03</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Python Version</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3.11</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Packer</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PyInstaller 2.1+</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Imphash</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f3c0dbc597607baa2ea891bc3a114b19 (IDENTICAL to Sample 1)</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Entropy</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6.9 (high — compressed internal payload)</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Code Signature</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Absent</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Family (MB)</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LunaGrabber / LunaStealer</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VT Detections</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40/70 (trojan.generickdq/python)</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HA Detections</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100 AV — Win/malicious_confidence_100%</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MB Tags</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exe, LunaGrabber, LunaStealer</w:t>
            </w:r>
          </w:p>
        </w:tc>
      </w:tr>
    </w:tbl>
    <w:p>
      <w:r>
        <w:br w:type="page"/>
      </w:r>
    </w:p>
    <w:p>
      <w:pPr>
        <w:pStyle w:val="Heading1"/>
        <w:spacing w:after="120" w:before="360"/>
      </w:pPr>
      <w:r>
        <w:rPr>
          <w:rFonts w:ascii="Arial" w:cs="Arial" w:eastAsia="Arial" w:hAnsi="Arial"/>
          <w:b/>
          <w:bCs/>
          <w:color w:val="1F4E79"/>
          <w:sz w:val="32"/>
          <w:szCs w:val="32"/>
        </w:rPr>
        <w:t xml:space="preserve">3. Analysis Methodology &amp; Pivot Points</w:t>
      </w:r>
    </w:p>
    <w:p>
      <w:pPr>
        <w:pBdr>
          <w:bottom w:val="single" w:color="2E75B6" w:sz="4" w:space="1"/>
        </w:pBdr>
        <w:spacing w:after="120" w:before="120"/>
      </w:pPr>
    </w:p>
    <w:p>
      <w:pPr>
        <w:spacing w:after="60" w:before="60"/>
      </w:pPr>
      <w:r>
        <w:rPr>
          <w:rFonts w:ascii="Arial" w:cs="Arial" w:eastAsia="Arial" w:hAnsi="Arial"/>
          <w:sz w:val="22"/>
          <w:szCs w:val="22"/>
        </w:rPr>
        <w:t xml:space="preserve">Analysis proceeded through five progressive phases, each revealing indicators that drove the next phase of investigation.</w:t>
      </w:r>
    </w:p>
    <w:p>
      <w:pPr>
        <w:spacing w:after="80" w:before="80"/>
      </w:pPr>
    </w:p>
    <w:p>
      <w:pPr>
        <w:pStyle w:val="Heading2"/>
        <w:spacing w:after="80" w:before="240"/>
      </w:pPr>
      <w:r>
        <w:rPr>
          <w:rFonts w:ascii="Arial" w:cs="Arial" w:eastAsia="Arial" w:hAnsi="Arial"/>
          <w:b/>
          <w:bCs/>
          <w:color w:val="2E75B6"/>
          <w:sz w:val="26"/>
          <w:szCs w:val="26"/>
        </w:rPr>
        <w:t xml:space="preserve">Phase 1: Threat Intelligence Query (tiquery)</w:t>
      </w:r>
    </w:p>
    <w:p>
      <w:pPr>
        <w:spacing w:after="60" w:before="60"/>
      </w:pPr>
      <w:r>
        <w:rPr>
          <w:rFonts w:ascii="Arial" w:cs="Arial" w:eastAsia="Arial" w:hAnsi="Arial"/>
          <w:sz w:val="22"/>
          <w:szCs w:val="22"/>
        </w:rPr>
        <w:t xml:space="preserve">Both samples were submitted to the MalChela tiquery tool, which performs multi-source lookups across MalwareBazaar, VirusTotal, Hybrid Analysis, MetaDefender, and Triage simultaneously.</w:t>
      </w:r>
    </w:p>
    <w:p>
      <w:pPr>
        <w:spacing w:after="80" w:before="80"/>
      </w:pP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Sample 1 returned confirmed LunaStealer hits across all five sources with first-seen date of 2025-12-01.</w:t>
      </w: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Sample 2 was tagged LunaGrabber and LunaStealer by MalwareBazaar, with Triage clustering it alongside BlankGrabber, GlassWorm, IcedID, and Luca-Stealer — suggesting a multi-tool dropper rather than a standalone stealer.</w:t>
      </w: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The filename loader.exe vs sdas.exe suggested different functional roles within the same campaign.</w:t>
      </w:r>
    </w:p>
    <w:p>
      <w:pPr>
        <w:spacing w:after="80" w:before="80"/>
      </w:pPr>
    </w:p>
    <w:p>
      <w:pPr>
        <w:pStyle w:val="Heading2"/>
        <w:spacing w:after="80" w:before="240"/>
      </w:pPr>
      <w:r>
        <w:rPr>
          <w:rFonts w:ascii="Arial" w:cs="Arial" w:eastAsia="Arial" w:hAnsi="Arial"/>
          <w:b/>
          <w:bCs/>
          <w:color w:val="2E75B6"/>
          <w:sz w:val="26"/>
          <w:szCs w:val="26"/>
        </w:rPr>
        <w:t xml:space="preserve">Phase 2: Static PE Analysis (fileanalyzer + mstrings)</w:t>
      </w:r>
    </w:p>
    <w:p>
      <w:pPr>
        <w:spacing w:after="60" w:before="60"/>
      </w:pPr>
      <w:r>
        <w:rPr>
          <w:rFonts w:ascii="Arial" w:cs="Arial" w:eastAsia="Arial" w:hAnsi="Arial"/>
          <w:sz w:val="22"/>
          <w:szCs w:val="22"/>
        </w:rPr>
        <w:t xml:space="preserve">Both samples were submitted to fileanalyzer for PE header analysis and mstrings for string extraction with MITRE ATT&amp;CK mapping.</w:t>
      </w:r>
    </w:p>
    <w:p>
      <w:pPr>
        <w:spacing w:after="80" w:before="80"/>
      </w:pPr>
    </w:p>
    <w:p>
      <w:pPr>
        <w:spacing w:after="60" w:before="60"/>
      </w:pPr>
      <w:r>
        <w:rPr>
          <w:rFonts w:ascii="Arial" w:cs="Arial" w:eastAsia="Arial" w:hAnsi="Arial"/>
          <w:sz w:val="22"/>
          <w:szCs w:val="22"/>
        </w:rPr>
        <w:t xml:space="preserve">Key finding: both samples share an identical imphash (f3c0dbc597607baa2ea891bc3a114b19), identical section layout (7 sections, same sizes), and identical import count (146). This confirmed both were compiled from the same PyInstaller loader template with different payloads embedded inside.</w:t>
      </w:r>
    </w:p>
    <w:p>
      <w:pPr>
        <w:spacing w:after="80" w:before="80"/>
      </w:pP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Sample 1 entropy 3.9 (low for PyInstaller) vs Sample 2 entropy 6.9 (high) — suggesting the embedded payload in Sample 2 is compressed or encrypted more aggressively.</w:t>
      </w: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mstrings identified 22-23 ATT&amp;CK-mapped indicators including anti-debug (IsDebuggerPresent), timing evasion (QueryPerformanceCounter), token manipulation (OpenProcessToken), DLL hijacking (SetDllDirectoryW), and staging (GetTempPathW + ExpandEnvironmentStringsW).</w:t>
      </w: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The .fptable PE section and Tcl_CreateThread import — both PyInstaller artifacts — confirmed the Python-compiled nature, consistent with VT's trojan.generickdq/python classification.</w:t>
      </w:r>
    </w:p>
    <w:p>
      <w:pPr>
        <w:spacing w:after="80" w:before="80"/>
      </w:pPr>
    </w:p>
    <w:p>
      <w:pPr>
        <w:pStyle w:val="Heading2"/>
        <w:spacing w:after="80" w:before="240"/>
      </w:pPr>
      <w:r>
        <w:rPr>
          <w:rFonts w:ascii="Arial" w:cs="Arial" w:eastAsia="Arial" w:hAnsi="Arial"/>
          <w:b/>
          <w:bCs/>
          <w:color w:val="2E75B6"/>
          <w:sz w:val="26"/>
          <w:szCs w:val="26"/>
        </w:rPr>
        <w:t xml:space="preserve">Phase 3: PyInstaller Extraction (pyinstxtractor-ng)</w:t>
      </w:r>
    </w:p>
    <w:p>
      <w:pPr>
        <w:spacing w:after="60" w:before="60"/>
      </w:pPr>
      <w:r>
        <w:rPr>
          <w:rFonts w:ascii="Arial" w:cs="Arial" w:eastAsia="Arial" w:hAnsi="Arial"/>
          <w:sz w:val="22"/>
          <w:szCs w:val="22"/>
        </w:rPr>
        <w:t xml:space="preserve">Both samples were extracted using pyinstxtractor-ng to reveal the bundled Python module sets and entry point pyc files.</w:t>
      </w:r>
    </w:p>
    <w:p>
      <w:pPr>
        <w:spacing w:after="80" w:before="80"/>
      </w:pPr>
    </w:p>
    <w:p>
      <w:pPr>
        <w:pStyle w:val="ListParagraph"/>
        <w:numPr>
          <w:ilvl w:val="0"/>
          <w:numId w:val="2"/>
        </w:numPr>
        <w:spacing w:after="40" w:before="40"/>
      </w:pPr>
      <w:r>
        <w:rPr>
          <w:rFonts w:ascii="Arial" w:cs="Arial" w:eastAsia="Arial" w:hAnsi="Arial"/>
          <w:b/>
          <w:bCs/>
          <w:sz w:val="22"/>
          <w:szCs w:val="22"/>
        </w:rPr>
        <w:t xml:space="preserve">Finding: </w:t>
      </w:r>
      <w:r>
        <w:rPr>
          <w:rFonts w:ascii="Arial" w:cs="Arial" w:eastAsia="Arial" w:hAnsi="Arial"/>
          <w:sz w:val="22"/>
          <w:szCs w:val="22"/>
        </w:rPr>
        <w:t xml:space="preserve">Sample 1 entry point: sdas.pyc (Python 3.13, 112 files, 752 PYZ modules)</w:t>
      </w:r>
    </w:p>
    <w:p>
      <w:pPr>
        <w:pStyle w:val="ListParagraph"/>
        <w:numPr>
          <w:ilvl w:val="0"/>
          <w:numId w:val="2"/>
        </w:numPr>
        <w:spacing w:after="40" w:before="40"/>
      </w:pPr>
      <w:r>
        <w:rPr>
          <w:rFonts w:ascii="Arial" w:cs="Arial" w:eastAsia="Arial" w:hAnsi="Arial"/>
          <w:b/>
          <w:bCs/>
          <w:sz w:val="22"/>
          <w:szCs w:val="22"/>
        </w:rPr>
        <w:t xml:space="preserve">Finding: </w:t>
      </w:r>
      <w:r>
        <w:rPr>
          <w:rFonts w:ascii="Arial" w:cs="Arial" w:eastAsia="Arial" w:hAnsi="Arial"/>
          <w:sz w:val="22"/>
          <w:szCs w:val="22"/>
        </w:rPr>
        <w:t xml:space="preserve">Sample 2 entry point: cleaner.pyc (Python 3.11, 113 files, 760 PYZ modules)</w:t>
      </w: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The name cleaner.pyc in a file called loader.exe is a strong indicator of staged delivery or post-infection cleanup functionality.</w:t>
      </w:r>
    </w:p>
    <w:p>
      <w:pPr>
        <w:pStyle w:val="ListParagraph"/>
        <w:numPr>
          <w:ilvl w:val="0"/>
          <w:numId w:val="2"/>
        </w:numPr>
        <w:spacing w:after="40" w:before="40"/>
      </w:pPr>
      <w:r>
        <w:rPr>
          <w:rFonts w:ascii="Arial" w:cs="Arial" w:eastAsia="Arial" w:hAnsi="Arial"/>
          <w:b/>
          <w:bCs/>
          <w:sz w:val="22"/>
          <w:szCs w:val="22"/>
        </w:rPr>
        <w:t xml:space="preserve">Finding: </w:t>
      </w:r>
      <w:r>
        <w:rPr>
          <w:rFonts w:ascii="Arial" w:cs="Arial" w:eastAsia="Arial" w:hAnsi="Arial"/>
          <w:sz w:val="22"/>
          <w:szCs w:val="22"/>
        </w:rPr>
        <w:t xml:space="preserve">Both bundles carry identical core libraries: requests, requests_toolbelt, Cryptodome, cryptography, psutil, PIL, sqlite3, win32 — confirming same stealer framework.</w:t>
      </w: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Sample 2 uniquely contains a l.js reference (T1059 — Command and Scripting Interpreter), absent from Sample 1, indicating a JavaScript component not present in the earlier build.</w:t>
      </w:r>
    </w:p>
    <w:p>
      <w:pPr>
        <w:pStyle w:val="ListParagraph"/>
        <w:numPr>
          <w:ilvl w:val="0"/>
          <w:numId w:val="2"/>
        </w:numPr>
        <w:spacing w:after="40" w:before="40"/>
      </w:pPr>
      <w:r>
        <w:rPr>
          <w:rFonts w:ascii="Arial" w:cs="Arial" w:eastAsia="Arial" w:hAnsi="Arial"/>
          <w:b/>
          <w:bCs/>
          <w:sz w:val="22"/>
          <w:szCs w:val="22"/>
        </w:rPr>
        <w:t xml:space="preserve">Finding: </w:t>
      </w:r>
      <w:r>
        <w:rPr>
          <w:rFonts w:ascii="Arial" w:cs="Arial" w:eastAsia="Arial" w:hAnsi="Arial"/>
          <w:sz w:val="22"/>
          <w:szCs w:val="22"/>
        </w:rPr>
        <w:t xml:space="preserve">OpenSSL version difference: Sample 1 uses libcrypto-3.dll (OpenSSL 3.x) vs Sample 2 uses libcrypto-1_1.dll (OpenSSL 1.1) — different build environments approximately one month apart.</w:t>
      </w:r>
    </w:p>
    <w:p>
      <w:pPr>
        <w:spacing w:after="80" w:before="80"/>
      </w:pPr>
    </w:p>
    <w:p>
      <w:pPr>
        <w:pStyle w:val="Heading2"/>
        <w:spacing w:after="80" w:before="240"/>
      </w:pPr>
      <w:r>
        <w:rPr>
          <w:rFonts w:ascii="Arial" w:cs="Arial" w:eastAsia="Arial" w:hAnsi="Arial"/>
          <w:b/>
          <w:bCs/>
          <w:color w:val="2E75B6"/>
          <w:sz w:val="26"/>
          <w:szCs w:val="26"/>
        </w:rPr>
        <w:t xml:space="preserve">Phase 4: Bytecode Decompilation (pycdc)</w:t>
      </w:r>
    </w:p>
    <w:p>
      <w:pPr>
        <w:spacing w:after="60" w:before="60"/>
      </w:pPr>
      <w:r>
        <w:rPr>
          <w:rFonts w:ascii="Arial" w:cs="Arial" w:eastAsia="Arial" w:hAnsi="Arial"/>
          <w:sz w:val="22"/>
          <w:szCs w:val="22"/>
        </w:rPr>
        <w:t xml:space="preserve">Both pyc files were decompiled using pycdc, which supports Python 3.11 and 3.13 bytecode.</w:t>
      </w:r>
    </w:p>
    <w:p>
      <w:pPr>
        <w:spacing w:after="80" w:before="80"/>
      </w:pPr>
    </w:p>
    <w:p>
      <w:pPr>
        <w:pStyle w:val="ListParagraph"/>
        <w:numPr>
          <w:ilvl w:val="0"/>
          <w:numId w:val="2"/>
        </w:numPr>
        <w:spacing w:after="40" w:before="40"/>
      </w:pPr>
      <w:r>
        <w:rPr>
          <w:rFonts w:ascii="Arial" w:cs="Arial" w:eastAsia="Arial" w:hAnsi="Arial"/>
          <w:b/>
          <w:bCs/>
          <w:sz w:val="22"/>
          <w:szCs w:val="22"/>
        </w:rPr>
        <w:t xml:space="preserve">Finding: </w:t>
      </w:r>
      <w:r>
        <w:rPr>
          <w:rFonts w:ascii="Arial" w:cs="Arial" w:eastAsia="Arial" w:hAnsi="Arial"/>
          <w:sz w:val="22"/>
          <w:szCs w:val="22"/>
        </w:rPr>
        <w:t xml:space="preserve">sdas.pyc decompiled cleanly to reveal a classic infostealer import stack: CryptUnprotectData (browser credential decryption), AES (Cryptodome), ImageGrab (screenshots), sqlite3 (browser DB access), MultipartEncoder (exfil).</w:t>
      </w: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cleaner.pyc revealed a multi-layer obfuscation scheme using byte array encoding to reconstruct eval, getattr, and __import__ at runtime — designed to evade static string detection.</w:t>
      </w:r>
    </w:p>
    <w:p>
      <w:pPr>
        <w:spacing w:after="60" w:before="60"/>
      </w:pPr>
      <w:r>
        <w:rPr>
          <w:rFonts w:ascii="Arial" w:cs="Arial" w:eastAsia="Arial" w:hAnsi="Arial"/>
          <w:sz w:val="22"/>
          <w:szCs w:val="22"/>
        </w:rPr>
        <w:t xml:space="preserve">The cleaner obfuscation chain decoded as:</w:t>
      </w:r>
    </w:p>
    <w:p>
      <w:pPr>
        <w:spacing w:after="40" w:before="40"/>
        <w:ind w:left="720"/>
      </w:pPr>
      <w:r>
        <w:rPr>
          <w:rFonts w:ascii="Courier New" w:cs="Courier New" w:eastAsia="Courier New" w:hAnsi="Courier New"/>
          <w:color w:val="C7254E"/>
          <w:sz w:val="20"/>
          <w:szCs w:val="20"/>
        </w:rPr>
        <w:t xml:space="preserve">bytes([98,97,115,101,54,52]) → "base64"</w:t>
      </w:r>
    </w:p>
    <w:p>
      <w:pPr>
        <w:spacing w:after="40" w:before="40"/>
        <w:ind w:left="720"/>
      </w:pPr>
      <w:r>
        <w:rPr>
          <w:rFonts w:ascii="Courier New" w:cs="Courier New" w:eastAsia="Courier New" w:hAnsi="Courier New"/>
          <w:color w:val="C7254E"/>
          <w:sz w:val="20"/>
          <w:szCs w:val="20"/>
        </w:rPr>
        <w:t xml:space="preserve">bytes([90,88,90,104,98,65,61,61]) → b64decode("ZXZhbA==") → "eval"</w:t>
      </w:r>
    </w:p>
    <w:p>
      <w:pPr>
        <w:spacing w:after="40" w:before="40"/>
        <w:ind w:left="720"/>
      </w:pPr>
      <w:r>
        <w:rPr>
          <w:rFonts w:ascii="Courier New" w:cs="Courier New" w:eastAsia="Courier New" w:hAnsi="Courier New"/>
          <w:color w:val="C7254E"/>
          <w:sz w:val="20"/>
          <w:szCs w:val="20"/>
        </w:rPr>
        <w:t xml:space="preserve">bytes([90,50,86,48,...]) → "getattr"</w:t>
      </w:r>
    </w:p>
    <w:p>
      <w:pPr>
        <w:spacing w:after="40" w:before="40"/>
        <w:ind w:left="720"/>
      </w:pPr>
      <w:r>
        <w:rPr>
          <w:rFonts w:ascii="Courier New" w:cs="Courier New" w:eastAsia="Courier New" w:hAnsi="Courier New"/>
          <w:color w:val="C7254E"/>
          <w:sz w:val="20"/>
          <w:szCs w:val="20"/>
        </w:rPr>
        <w:t xml:space="preserve">bytes([88,49,57,112,...]) → "__import__"</w:t>
      </w:r>
    </w:p>
    <w:p>
      <w:pPr>
        <w:spacing w:after="80" w:before="80"/>
      </w:pPr>
    </w:p>
    <w:p>
      <w:pPr>
        <w:pStyle w:val="Heading2"/>
        <w:spacing w:after="80" w:before="240"/>
      </w:pPr>
      <w:r>
        <w:rPr>
          <w:rFonts w:ascii="Arial" w:cs="Arial" w:eastAsia="Arial" w:hAnsi="Arial"/>
          <w:b/>
          <w:bCs/>
          <w:color w:val="2E75B6"/>
          <w:sz w:val="26"/>
          <w:szCs w:val="26"/>
        </w:rPr>
        <w:t xml:space="preserve">Phase 5: LZMA Stage 2 Extraction</w:t>
      </w:r>
    </w:p>
    <w:p>
      <w:pPr>
        <w:spacing w:after="60" w:before="60"/>
      </w:pPr>
      <w:r>
        <w:rPr>
          <w:rFonts w:ascii="Arial" w:cs="Arial" w:eastAsia="Arial" w:hAnsi="Arial"/>
          <w:sz w:val="22"/>
          <w:szCs w:val="22"/>
        </w:rPr>
        <w:t xml:space="preserve">The cleaner.pyc contained a large embedded binary blob (________ variable) with an LZMA magic header (\xfd7zXZ). The blob was located at offset 0x17d4 and decompressed to 102,923 bytes of stage 2 Python source.</w:t>
      </w:r>
    </w:p>
    <w:p>
      <w:pPr>
        <w:spacing w:after="80" w:before="80"/>
      </w:pP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The LZMA decompression is wrapped in a try/except LZMAError block with an os._exit(0) call on failure — a sandbox bail-out mechanism to prevent analysis in emulated environments.</w:t>
      </w:r>
    </w:p>
    <w:p>
      <w:pPr>
        <w:pStyle w:val="ListParagraph"/>
        <w:numPr>
          <w:ilvl w:val="0"/>
          <w:numId w:val="2"/>
        </w:numPr>
        <w:spacing w:after="40" w:before="40"/>
      </w:pPr>
      <w:r>
        <w:rPr>
          <w:rFonts w:ascii="Arial" w:cs="Arial" w:eastAsia="Arial" w:hAnsi="Arial"/>
          <w:b/>
          <w:bCs/>
          <w:sz w:val="22"/>
          <w:szCs w:val="22"/>
        </w:rPr>
        <w:t xml:space="preserve">Pivot: </w:t>
      </w:r>
      <w:r>
        <w:rPr>
          <w:rFonts w:ascii="Arial" w:cs="Arial" w:eastAsia="Arial" w:hAnsi="Arial"/>
          <w:sz w:val="22"/>
          <w:szCs w:val="22"/>
        </w:rPr>
        <w:t xml:space="preserve">The decompressed stage 2 used a further custom string encoding scheme (LjNNNNNN... alphabet substitution) to hide all IOCs from static analysis, with final execution via compile() + exec().</w:t>
      </w:r>
    </w:p>
    <w:p>
      <w:pPr>
        <w:pStyle w:val="ListParagraph"/>
        <w:numPr>
          <w:ilvl w:val="0"/>
          <w:numId w:val="2"/>
        </w:numPr>
        <w:spacing w:after="40" w:before="40"/>
      </w:pPr>
      <w:r>
        <w:rPr>
          <w:rFonts w:ascii="Arial" w:cs="Arial" w:eastAsia="Arial" w:hAnsi="Arial"/>
          <w:b/>
          <w:bCs/>
          <w:sz w:val="22"/>
          <w:szCs w:val="22"/>
        </w:rPr>
        <w:t xml:space="preserve">Finding: </w:t>
      </w:r>
      <w:r>
        <w:rPr>
          <w:rFonts w:ascii="Arial" w:cs="Arial" w:eastAsia="Arial" w:hAnsi="Arial"/>
          <w:sz w:val="22"/>
          <w:szCs w:val="22"/>
        </w:rPr>
        <w:t xml:space="preserve">Full decoding of the stage 2 revealed the complete malware capability set, C2 infrastructure, injection URL, and evasion lists documented in Section 5.</w:t>
      </w:r>
    </w:p>
    <w:p>
      <w:r>
        <w:br w:type="page"/>
      </w:r>
    </w:p>
    <w:p>
      <w:pPr>
        <w:pStyle w:val="Heading1"/>
        <w:spacing w:after="120" w:before="360"/>
      </w:pPr>
      <w:r>
        <w:rPr>
          <w:rFonts w:ascii="Arial" w:cs="Arial" w:eastAsia="Arial" w:hAnsi="Arial"/>
          <w:b/>
          <w:bCs/>
          <w:color w:val="1F4E79"/>
          <w:sz w:val="32"/>
          <w:szCs w:val="32"/>
        </w:rPr>
        <w:t xml:space="preserve">4. Malware Capabilities</w:t>
      </w:r>
    </w:p>
    <w:p>
      <w:pPr>
        <w:pBdr>
          <w:bottom w:val="single" w:color="2E75B6" w:sz="4" w:space="1"/>
        </w:pBdr>
        <w:spacing w:after="120" w:before="120"/>
      </w:pPr>
    </w:p>
    <w:p>
      <w:pPr>
        <w:pStyle w:val="Heading2"/>
        <w:spacing w:after="80" w:before="240"/>
      </w:pPr>
      <w:r>
        <w:rPr>
          <w:rFonts w:ascii="Arial" w:cs="Arial" w:eastAsia="Arial" w:hAnsi="Arial"/>
          <w:b/>
          <w:bCs/>
          <w:color w:val="2E75B6"/>
          <w:sz w:val="26"/>
          <w:szCs w:val="26"/>
        </w:rPr>
        <w:t xml:space="preserve">4.1 Anti-Analysis &amp; Evasion</w:t>
      </w:r>
    </w:p>
    <w:p>
      <w:pPr>
        <w:spacing w:after="60" w:before="60"/>
      </w:pPr>
      <w:r>
        <w:rPr>
          <w:rFonts w:ascii="Arial" w:cs="Arial" w:eastAsia="Arial" w:hAnsi="Arial"/>
          <w:sz w:val="22"/>
          <w:szCs w:val="22"/>
        </w:rPr>
        <w:t xml:space="preserve">The loader.exe stage 2 implements comprehensive pre-execution environment checks before any malicious activity begins:</w:t>
      </w:r>
    </w:p>
    <w:p>
      <w:pPr>
        <w:spacing w:after="80" w:before="80"/>
      </w:pPr>
    </w:p>
    <w:p>
      <w:pPr>
        <w:pStyle w:val="ListParagraph"/>
        <w:numPr>
          <w:ilvl w:val="0"/>
          <w:numId w:val="2"/>
        </w:numPr>
        <w:spacing w:after="40" w:before="40"/>
      </w:pPr>
      <w:r>
        <w:rPr>
          <w:rFonts w:ascii="Arial" w:cs="Arial" w:eastAsia="Arial" w:hAnsi="Arial"/>
          <w:sz w:val="22"/>
          <w:szCs w:val="22"/>
        </w:rPr>
        <w:t xml:space="preserve">Process blacklist check — terminates if any analysis tool is running (see IOC section for full list)</w:t>
      </w:r>
    </w:p>
    <w:p>
      <w:pPr>
        <w:pStyle w:val="ListParagraph"/>
        <w:numPr>
          <w:ilvl w:val="0"/>
          <w:numId w:val="2"/>
        </w:numPr>
        <w:spacing w:after="40" w:before="40"/>
      </w:pPr>
      <w:r>
        <w:rPr>
          <w:rFonts w:ascii="Arial" w:cs="Arial" w:eastAsia="Arial" w:hAnsi="Arial"/>
          <w:sz w:val="22"/>
          <w:szCs w:val="22"/>
        </w:rPr>
        <w:t xml:space="preserve">MAC address blacklist — over 80 known VM/sandbox MAC prefixes</w:t>
      </w:r>
    </w:p>
    <w:p>
      <w:pPr>
        <w:pStyle w:val="ListParagraph"/>
        <w:numPr>
          <w:ilvl w:val="0"/>
          <w:numId w:val="2"/>
        </w:numPr>
        <w:spacing w:after="40" w:before="40"/>
      </w:pPr>
      <w:r>
        <w:rPr>
          <w:rFonts w:ascii="Arial" w:cs="Arial" w:eastAsia="Arial" w:hAnsi="Arial"/>
          <w:sz w:val="22"/>
          <w:szCs w:val="22"/>
        </w:rPr>
        <w:t xml:space="preserve">Hardware ID (HWID) blacklist — known virtualization HWIDs</w:t>
      </w:r>
    </w:p>
    <w:p>
      <w:pPr>
        <w:pStyle w:val="ListParagraph"/>
        <w:numPr>
          <w:ilvl w:val="0"/>
          <w:numId w:val="2"/>
        </w:numPr>
        <w:spacing w:after="40" w:before="40"/>
      </w:pPr>
      <w:r>
        <w:rPr>
          <w:rFonts w:ascii="Arial" w:cs="Arial" w:eastAsia="Arial" w:hAnsi="Arial"/>
          <w:sz w:val="22"/>
          <w:szCs w:val="22"/>
        </w:rPr>
        <w:t xml:space="preserve">IP address blacklist — known sandbox infrastructure IPs</w:t>
      </w:r>
    </w:p>
    <w:p>
      <w:pPr>
        <w:pStyle w:val="ListParagraph"/>
        <w:numPr>
          <w:ilvl w:val="0"/>
          <w:numId w:val="2"/>
        </w:numPr>
        <w:spacing w:after="40" w:before="40"/>
      </w:pPr>
      <w:r>
        <w:rPr>
          <w:rFonts w:ascii="Arial" w:cs="Arial" w:eastAsia="Arial" w:hAnsi="Arial"/>
          <w:sz w:val="22"/>
          <w:szCs w:val="22"/>
        </w:rPr>
        <w:t xml:space="preserve">Username and PC name blacklists — common analysis environment identifiers</w:t>
      </w:r>
    </w:p>
    <w:p>
      <w:pPr>
        <w:pStyle w:val="ListParagraph"/>
        <w:numPr>
          <w:ilvl w:val="0"/>
          <w:numId w:val="2"/>
        </w:numPr>
        <w:spacing w:after="40" w:before="40"/>
      </w:pPr>
      <w:r>
        <w:rPr>
          <w:rFonts w:ascii="Arial" w:cs="Arial" w:eastAsia="Arial" w:hAnsi="Arial"/>
          <w:sz w:val="22"/>
          <w:szCs w:val="22"/>
        </w:rPr>
        <w:t xml:space="preserve">LZMA decompression sandbox bail-out — os._exit(0) on decompression failure</w:t>
      </w:r>
    </w:p>
    <w:p>
      <w:pPr>
        <w:pStyle w:val="ListParagraph"/>
        <w:numPr>
          <w:ilvl w:val="0"/>
          <w:numId w:val="2"/>
        </w:numPr>
        <w:spacing w:after="40" w:before="40"/>
      </w:pPr>
      <w:r>
        <w:rPr>
          <w:rFonts w:ascii="Arial" w:cs="Arial" w:eastAsia="Arial" w:hAnsi="Arial"/>
          <w:sz w:val="22"/>
          <w:szCs w:val="22"/>
        </w:rPr>
        <w:t xml:space="preserve">Timing check — QueryPerformanceCounter to detect accelerated sandbox execution</w:t>
      </w:r>
    </w:p>
    <w:p>
      <w:pPr>
        <w:pStyle w:val="ListParagraph"/>
        <w:numPr>
          <w:ilvl w:val="0"/>
          <w:numId w:val="2"/>
        </w:numPr>
        <w:spacing w:after="40" w:before="40"/>
      </w:pPr>
      <w:r>
        <w:rPr>
          <w:rFonts w:ascii="Arial" w:cs="Arial" w:eastAsia="Arial" w:hAnsi="Arial"/>
          <w:sz w:val="22"/>
          <w:szCs w:val="22"/>
        </w:rPr>
        <w:t xml:space="preserve">IsDebuggerPresent — active debugger detection</w:t>
      </w:r>
    </w:p>
    <w:p>
      <w:pPr>
        <w:spacing w:after="80" w:before="80"/>
      </w:pPr>
    </w:p>
    <w:p>
      <w:pPr>
        <w:pStyle w:val="Heading2"/>
        <w:spacing w:after="80" w:before="240"/>
      </w:pPr>
      <w:r>
        <w:rPr>
          <w:rFonts w:ascii="Arial" w:cs="Arial" w:eastAsia="Arial" w:hAnsi="Arial"/>
          <w:b/>
          <w:bCs/>
          <w:color w:val="2E75B6"/>
          <w:sz w:val="26"/>
          <w:szCs w:val="26"/>
        </w:rPr>
        <w:t xml:space="preserve">4.2 Discord Token Theft &amp; Injection</w:t>
      </w:r>
    </w:p>
    <w:p>
      <w:pPr>
        <w:spacing w:after="60" w:before="60"/>
      </w:pPr>
      <w:r>
        <w:rPr>
          <w:rFonts w:ascii="Arial" w:cs="Arial" w:eastAsia="Arial" w:hAnsi="Arial"/>
          <w:sz w:val="22"/>
          <w:szCs w:val="22"/>
        </w:rPr>
        <w:t xml:space="preserve">Both samples target Discord desktop installations across all three release channels (stable, canary, PTB):</w:t>
      </w:r>
    </w:p>
    <w:p>
      <w:pPr>
        <w:spacing w:after="80" w:before="80"/>
      </w:pPr>
    </w:p>
    <w:p>
      <w:pPr>
        <w:pStyle w:val="ListParagraph"/>
        <w:numPr>
          <w:ilvl w:val="0"/>
          <w:numId w:val="2"/>
        </w:numPr>
        <w:spacing w:after="40" w:before="40"/>
      </w:pPr>
      <w:r>
        <w:rPr>
          <w:rFonts w:ascii="Arial" w:cs="Arial" w:eastAsia="Arial" w:hAnsi="Arial"/>
          <w:sz w:val="22"/>
          <w:szCs w:val="22"/>
        </w:rPr>
        <w:t xml:space="preserve">Extracts tokens from Discord LevelDB local storage</w:t>
      </w:r>
    </w:p>
    <w:p>
      <w:pPr>
        <w:pStyle w:val="ListParagraph"/>
        <w:numPr>
          <w:ilvl w:val="0"/>
          <w:numId w:val="2"/>
        </w:numPr>
        <w:spacing w:after="40" w:before="40"/>
      </w:pPr>
      <w:r>
        <w:rPr>
          <w:rFonts w:ascii="Arial" w:cs="Arial" w:eastAsia="Arial" w:hAnsi="Arial"/>
          <w:sz w:val="22"/>
          <w:szCs w:val="22"/>
        </w:rPr>
        <w:t xml:space="preserve">Reads Discord Local State for encrypted token storage</w:t>
      </w:r>
    </w:p>
    <w:p>
      <w:pPr>
        <w:pStyle w:val="ListParagraph"/>
        <w:numPr>
          <w:ilvl w:val="0"/>
          <w:numId w:val="2"/>
        </w:numPr>
        <w:spacing w:after="40" w:before="40"/>
      </w:pPr>
      <w:r>
        <w:rPr>
          <w:rFonts w:ascii="Arial" w:cs="Arial" w:eastAsia="Arial" w:hAnsi="Arial"/>
          <w:sz w:val="22"/>
          <w:szCs w:val="22"/>
        </w:rPr>
        <w:t xml:space="preserve">Injects remote JavaScript payload into Discord desktop core module:</w:t>
      </w:r>
    </w:p>
    <w:p>
      <w:pPr>
        <w:spacing w:after="40" w:before="40"/>
        <w:ind w:left="720"/>
      </w:pPr>
      <w:r>
        <w:rPr>
          <w:rFonts w:ascii="Courier New" w:cs="Courier New" w:eastAsia="Courier New" w:hAnsi="Courier New"/>
          <w:color w:val="C7254E"/>
          <w:sz w:val="20"/>
          <w:szCs w:val="20"/>
        </w:rPr>
        <w:t xml:space="preserve">https://raw.githubusercontent.com/Smug246/luna-injection/main/obfuscated-injection.js</w:t>
      </w:r>
    </w:p>
    <w:p>
      <w:pPr>
        <w:pStyle w:val="ListParagraph"/>
        <w:numPr>
          <w:ilvl w:val="0"/>
          <w:numId w:val="2"/>
        </w:numPr>
        <w:spacing w:after="40" w:before="40"/>
      </w:pPr>
      <w:r>
        <w:rPr>
          <w:rFonts w:ascii="Arial" w:cs="Arial" w:eastAsia="Arial" w:hAnsi="Arial"/>
          <w:sz w:val="22"/>
          <w:szCs w:val="22"/>
        </w:rPr>
        <w:t xml:space="preserve">Injection persists across Discord restarts by patching discord_desktop_core</w:t>
      </w:r>
    </w:p>
    <w:p>
      <w:pPr>
        <w:pStyle w:val="ListParagraph"/>
        <w:numPr>
          <w:ilvl w:val="0"/>
          <w:numId w:val="2"/>
        </w:numPr>
        <w:spacing w:after="40" w:before="40"/>
      </w:pPr>
      <w:r>
        <w:rPr>
          <w:rFonts w:ascii="Arial" w:cs="Arial" w:eastAsia="Arial" w:hAnsi="Arial"/>
          <w:sz w:val="22"/>
          <w:szCs w:val="22"/>
        </w:rPr>
        <w:t xml:space="preserve">Exfiltrates Discord user profile, payment methods, MFA status, Nitro type, and billing information</w:t>
      </w:r>
    </w:p>
    <w:p>
      <w:pPr>
        <w:spacing w:after="80" w:before="80"/>
      </w:pPr>
    </w:p>
    <w:p>
      <w:pPr>
        <w:pStyle w:val="Heading2"/>
        <w:spacing w:after="80" w:before="240"/>
      </w:pPr>
      <w:r>
        <w:rPr>
          <w:rFonts w:ascii="Arial" w:cs="Arial" w:eastAsia="Arial" w:hAnsi="Arial"/>
          <w:b/>
          <w:bCs/>
          <w:color w:val="2E75B6"/>
          <w:sz w:val="26"/>
          <w:szCs w:val="26"/>
        </w:rPr>
        <w:t xml:space="preserve">4.3 Browser Credential Theft</w:t>
      </w:r>
    </w:p>
    <w:p>
      <w:pPr>
        <w:spacing w:after="60" w:before="60"/>
      </w:pPr>
      <w:r>
        <w:rPr>
          <w:rFonts w:ascii="Arial" w:cs="Arial" w:eastAsia="Arial" w:hAnsi="Arial"/>
          <w:sz w:val="22"/>
          <w:szCs w:val="22"/>
        </w:rPr>
        <w:t xml:space="preserve">Targets 20+ Chromium and non-Chromium browsers using CryptUnprotectData for master key decryption and direct SQLite access to credential databases:</w:t>
      </w:r>
    </w:p>
    <w:p>
      <w:pPr>
        <w:spacing w:after="80" w:before="80"/>
      </w:pPr>
    </w:p>
    <w:p>
      <w:pPr>
        <w:pStyle w:val="ListParagraph"/>
        <w:numPr>
          <w:ilvl w:val="0"/>
          <w:numId w:val="2"/>
        </w:numPr>
        <w:spacing w:after="40" w:before="40"/>
      </w:pPr>
      <w:r>
        <w:rPr>
          <w:rFonts w:ascii="Arial" w:cs="Arial" w:eastAsia="Arial" w:hAnsi="Arial"/>
          <w:sz w:val="22"/>
          <w:szCs w:val="22"/>
        </w:rPr>
        <w:t xml:space="preserve">Browsers: Chrome (all profiles), Edge, Brave, Opera, Opera GX, Yandex, Vivaldi, Kometa, Orbitum, CentBrowser, 7Star, Sputnik, Iridium, Epic Privacy Browser, Uran, Amigo, Torch, Lightcord</w:t>
      </w:r>
    </w:p>
    <w:p>
      <w:pPr>
        <w:pStyle w:val="ListParagraph"/>
        <w:numPr>
          <w:ilvl w:val="0"/>
          <w:numId w:val="2"/>
        </w:numPr>
        <w:spacing w:after="40" w:before="40"/>
      </w:pPr>
      <w:r>
        <w:rPr>
          <w:rFonts w:ascii="Arial" w:cs="Arial" w:eastAsia="Arial" w:hAnsi="Arial"/>
          <w:sz w:val="22"/>
          <w:szCs w:val="22"/>
        </w:rPr>
        <w:t xml:space="preserve">Data collected: saved passwords, cookies, credit card numbers, browser history</w:t>
      </w:r>
    </w:p>
    <w:p>
      <w:pPr>
        <w:pStyle w:val="ListParagraph"/>
        <w:numPr>
          <w:ilvl w:val="0"/>
          <w:numId w:val="2"/>
        </w:numPr>
        <w:spacing w:after="40" w:before="40"/>
      </w:pPr>
      <w:r>
        <w:rPr>
          <w:rFonts w:ascii="Arial" w:cs="Arial" w:eastAsia="Arial" w:hAnsi="Arial"/>
          <w:sz w:val="22"/>
          <w:szCs w:val="22"/>
        </w:rPr>
        <w:t xml:space="preserve">Uses requests_toolbelt MultipartEncoder for structured HTTP exfiltration</w:t>
      </w:r>
    </w:p>
    <w:p>
      <w:pPr>
        <w:spacing w:after="80" w:before="80"/>
      </w:pPr>
    </w:p>
    <w:p>
      <w:pPr>
        <w:pStyle w:val="Heading2"/>
        <w:spacing w:after="80" w:before="240"/>
      </w:pPr>
      <w:r>
        <w:rPr>
          <w:rFonts w:ascii="Arial" w:cs="Arial" w:eastAsia="Arial" w:hAnsi="Arial"/>
          <w:b/>
          <w:bCs/>
          <w:color w:val="2E75B6"/>
          <w:sz w:val="26"/>
          <w:szCs w:val="26"/>
        </w:rPr>
        <w:t xml:space="preserve">4.4 Roblox Session Cookie Theft</w:t>
      </w:r>
    </w:p>
    <w:p>
      <w:pPr>
        <w:spacing w:after="60" w:before="60"/>
      </w:pPr>
      <w:r>
        <w:rPr>
          <w:rFonts w:ascii="Arial" w:cs="Arial" w:eastAsia="Arial" w:hAnsi="Arial"/>
          <w:sz w:val="22"/>
          <w:szCs w:val="22"/>
        </w:rPr>
        <w:t xml:space="preserve">Dedicated Roblox cookie stealer targeting .ROBLOSECURITY session cookies, with subsequent API call to validate and enrich stolen sessions:</w:t>
      </w:r>
    </w:p>
    <w:p>
      <w:pPr>
        <w:spacing w:after="80" w:before="80"/>
      </w:pPr>
    </w:p>
    <w:p>
      <w:pPr>
        <w:pStyle w:val="ListParagraph"/>
        <w:numPr>
          <w:ilvl w:val="0"/>
          <w:numId w:val="2"/>
        </w:numPr>
        <w:spacing w:after="40" w:before="40"/>
      </w:pPr>
      <w:r>
        <w:rPr>
          <w:rFonts w:ascii="Arial" w:cs="Arial" w:eastAsia="Arial" w:hAnsi="Arial"/>
          <w:sz w:val="22"/>
          <w:szCs w:val="22"/>
        </w:rPr>
        <w:t xml:space="preserve">Queries https://www.roblox.com/mobileapi/userinfo with stolen cookie</w:t>
      </w:r>
    </w:p>
    <w:p>
      <w:pPr>
        <w:pStyle w:val="ListParagraph"/>
        <w:numPr>
          <w:ilvl w:val="0"/>
          <w:numId w:val="2"/>
        </w:numPr>
        <w:spacing w:after="40" w:before="40"/>
      </w:pPr>
      <w:r>
        <w:rPr>
          <w:rFonts w:ascii="Arial" w:cs="Arial" w:eastAsia="Arial" w:hAnsi="Arial"/>
          <w:sz w:val="22"/>
          <w:szCs w:val="22"/>
        </w:rPr>
        <w:t xml:space="preserve">Collects username, Robux balance, and avatar thumbnail URL</w:t>
      </w:r>
    </w:p>
    <w:p>
      <w:pPr>
        <w:spacing w:after="80" w:before="80"/>
      </w:pPr>
    </w:p>
    <w:p>
      <w:pPr>
        <w:pStyle w:val="Heading2"/>
        <w:spacing w:after="80" w:before="240"/>
      </w:pPr>
      <w:r>
        <w:rPr>
          <w:rFonts w:ascii="Arial" w:cs="Arial" w:eastAsia="Arial" w:hAnsi="Arial"/>
          <w:b/>
          <w:bCs/>
          <w:color w:val="2E75B6"/>
          <w:sz w:val="26"/>
          <w:szCs w:val="26"/>
        </w:rPr>
        <w:t xml:space="preserve">4.5 System Reconnaissance</w:t>
      </w:r>
    </w:p>
    <w:p>
      <w:pPr>
        <w:pStyle w:val="ListParagraph"/>
        <w:numPr>
          <w:ilvl w:val="0"/>
          <w:numId w:val="2"/>
        </w:numPr>
        <w:spacing w:after="40" w:before="40"/>
      </w:pPr>
      <w:r>
        <w:rPr>
          <w:rFonts w:ascii="Arial" w:cs="Arial" w:eastAsia="Arial" w:hAnsi="Arial"/>
          <w:sz w:val="22"/>
          <w:szCs w:val="22"/>
        </w:rPr>
        <w:t xml:space="preserve">Desktop screenshot via PIL ImageGrab</w:t>
      </w:r>
    </w:p>
    <w:p>
      <w:pPr>
        <w:pStyle w:val="ListParagraph"/>
        <w:numPr>
          <w:ilvl w:val="0"/>
          <w:numId w:val="2"/>
        </w:numPr>
        <w:spacing w:after="40" w:before="40"/>
      </w:pPr>
      <w:r>
        <w:rPr>
          <w:rFonts w:ascii="Arial" w:cs="Arial" w:eastAsia="Arial" w:hAnsi="Arial"/>
          <w:sz w:val="22"/>
          <w:szCs w:val="22"/>
        </w:rPr>
        <w:t xml:space="preserve">System information collection (CPU count, OS version, hostname, username)</w:t>
      </w:r>
    </w:p>
    <w:p>
      <w:pPr>
        <w:pStyle w:val="ListParagraph"/>
        <w:numPr>
          <w:ilvl w:val="0"/>
          <w:numId w:val="2"/>
        </w:numPr>
        <w:spacing w:after="40" w:before="40"/>
      </w:pPr>
      <w:r>
        <w:rPr>
          <w:rFonts w:ascii="Arial" w:cs="Arial" w:eastAsia="Arial" w:hAnsi="Arial"/>
          <w:sz w:val="22"/>
          <w:szCs w:val="22"/>
        </w:rPr>
        <w:t xml:space="preserve">Network interface enumeration</w:t>
      </w:r>
    </w:p>
    <w:p>
      <w:pPr>
        <w:pStyle w:val="ListParagraph"/>
        <w:numPr>
          <w:ilvl w:val="0"/>
          <w:numId w:val="2"/>
        </w:numPr>
        <w:spacing w:after="40" w:before="40"/>
      </w:pPr>
      <w:r>
        <w:rPr>
          <w:rFonts w:ascii="Arial" w:cs="Arial" w:eastAsia="Arial" w:hAnsi="Arial"/>
          <w:sz w:val="22"/>
          <w:szCs w:val="22"/>
        </w:rPr>
        <w:t xml:space="preserve">Running process enumeration</w:t>
      </w:r>
    </w:p>
    <w:p>
      <w:pPr>
        <w:spacing w:after="80" w:before="80"/>
      </w:pPr>
    </w:p>
    <w:p>
      <w:pPr>
        <w:pStyle w:val="Heading2"/>
        <w:spacing w:after="80" w:before="240"/>
      </w:pPr>
      <w:r>
        <w:rPr>
          <w:rFonts w:ascii="Arial" w:cs="Arial" w:eastAsia="Arial" w:hAnsi="Arial"/>
          <w:b/>
          <w:bCs/>
          <w:color w:val="2E75B6"/>
          <w:sz w:val="26"/>
          <w:szCs w:val="26"/>
        </w:rPr>
        <w:t xml:space="preserve">4.6 Self-Destruct</w:t>
      </w:r>
    </w:p>
    <w:p>
      <w:pPr>
        <w:spacing w:after="60" w:before="60"/>
      </w:pPr>
      <w:r>
        <w:rPr>
          <w:rFonts w:ascii="Arial" w:cs="Arial" w:eastAsia="Arial" w:hAnsi="Arial"/>
          <w:sz w:val="22"/>
          <w:szCs w:val="22"/>
        </w:rPr>
        <w:t xml:space="preserve">After execution completes, the malware deletes its own executable:</w:t>
      </w:r>
    </w:p>
    <w:p>
      <w:pPr>
        <w:spacing w:after="40" w:before="40"/>
        <w:ind w:left="720"/>
      </w:pPr>
      <w:r>
        <w:rPr>
          <w:rFonts w:ascii="Courier New" w:cs="Courier New" w:eastAsia="Courier New" w:hAnsi="Courier New"/>
          <w:color w:val="C7254E"/>
          <w:sz w:val="20"/>
          <w:szCs w:val="20"/>
        </w:rPr>
        <w:t xml:space="preserve">ping localhost -n 3 &gt; NUL &amp;&amp; del /F "{executable_path}"</w:t>
      </w:r>
    </w:p>
    <w:p>
      <w:pPr>
        <w:spacing w:after="60" w:before="60"/>
      </w:pPr>
      <w:r>
        <w:rPr>
          <w:rFonts w:ascii="Arial" w:cs="Arial" w:eastAsia="Arial" w:hAnsi="Arial"/>
          <w:sz w:val="22"/>
          <w:szCs w:val="22"/>
        </w:rPr>
        <w:t xml:space="preserve">The ping delay (3 seconds) allows the process to fully exit before the delete command executes.</w:t>
      </w:r>
    </w:p>
    <w:p>
      <w:r>
        <w:br w:type="page"/>
      </w:r>
    </w:p>
    <w:p>
      <w:pPr>
        <w:pStyle w:val="Heading1"/>
        <w:spacing w:after="120" w:before="360"/>
      </w:pPr>
      <w:r>
        <w:rPr>
          <w:rFonts w:ascii="Arial" w:cs="Arial" w:eastAsia="Arial" w:hAnsi="Arial"/>
          <w:b/>
          <w:bCs/>
          <w:color w:val="1F4E79"/>
          <w:sz w:val="32"/>
          <w:szCs w:val="32"/>
        </w:rPr>
        <w:t xml:space="preserve">5. Indicators of Compromise</w:t>
      </w:r>
    </w:p>
    <w:p>
      <w:pPr>
        <w:pBdr>
          <w:bottom w:val="single" w:color="2E75B6" w:sz="4" w:space="1"/>
        </w:pBdr>
        <w:spacing w:after="120" w:before="120"/>
      </w:pPr>
    </w:p>
    <w:p>
      <w:pPr>
        <w:pStyle w:val="Heading2"/>
        <w:spacing w:after="80" w:before="240"/>
      </w:pPr>
      <w:r>
        <w:rPr>
          <w:rFonts w:ascii="Arial" w:cs="Arial" w:eastAsia="Arial" w:hAnsi="Arial"/>
          <w:b/>
          <w:bCs/>
          <w:color w:val="2E75B6"/>
          <w:sz w:val="26"/>
          <w:szCs w:val="26"/>
        </w:rPr>
        <w:t xml:space="preserve">5.1 File Hashes</w:t>
      </w:r>
    </w:p>
    <w:p>
      <w:pPr>
        <w:spacing w:after="8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000"/>
        <w:gridCol w:w="5360"/>
      </w:tblGrid>
      <w:tr>
        <w:tc>
          <w:tcPr>
            <w:tcW w:type="dxa" w:w="200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Hash Type</w:t>
            </w:r>
          </w:p>
        </w:tc>
        <w:tc>
          <w:tcPr>
            <w:tcW w:type="dxa" w:w="200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Sample</w:t>
            </w:r>
          </w:p>
        </w:tc>
        <w:tc>
          <w:tcPr>
            <w:tcW w:type="dxa" w:w="536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Value</w:t>
            </w:r>
          </w:p>
        </w:tc>
      </w:tr>
      <w:tr>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SHA-256</w:t>
            </w:r>
          </w:p>
        </w:tc>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sdas.exe</w:t>
            </w:r>
          </w:p>
        </w:tc>
        <w:tc>
          <w:tcPr>
            <w:tcW w:type="dxa" w:w="53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4f3b8971d6c985125cc2cb1fec0ac5e700219510a84f991a7481d060861ea0d0</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SHA-256</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loader.exe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d4f57b427a281c4dc32d6b8cc12195e0ce262c9f80ac8a8505ff3a0b47536324</w:t>
            </w:r>
          </w:p>
        </w:tc>
      </w:tr>
      <w:tr>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Imphash</w:t>
            </w:r>
          </w:p>
        </w:tc>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Both</w:t>
            </w:r>
          </w:p>
        </w:tc>
        <w:tc>
          <w:tcPr>
            <w:tcW w:type="dxa" w:w="53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f3c0dbc597607baa2ea891bc3a114b19</w:t>
            </w:r>
          </w:p>
        </w:tc>
      </w:tr>
    </w:tbl>
    <w:p>
      <w:pPr>
        <w:spacing w:after="80" w:before="80"/>
      </w:pPr>
    </w:p>
    <w:p>
      <w:pPr>
        <w:pStyle w:val="Heading2"/>
        <w:spacing w:after="80" w:before="240"/>
      </w:pPr>
      <w:r>
        <w:rPr>
          <w:rFonts w:ascii="Arial" w:cs="Arial" w:eastAsia="Arial" w:hAnsi="Arial"/>
          <w:b/>
          <w:bCs/>
          <w:color w:val="2E75B6"/>
          <w:sz w:val="26"/>
          <w:szCs w:val="26"/>
        </w:rPr>
        <w:t xml:space="preserve">5.2 Network Indicators</w:t>
      </w:r>
    </w:p>
    <w:p>
      <w:pPr>
        <w:spacing w:after="80" w:before="80"/>
      </w:pPr>
    </w:p>
    <w:p>
      <w:pPr>
        <w:pStyle w:val="Heading3"/>
        <w:spacing w:after="60" w:before="180"/>
      </w:pPr>
      <w:r>
        <w:rPr>
          <w:rFonts w:ascii="Arial" w:cs="Arial" w:eastAsia="Arial" w:hAnsi="Arial"/>
          <w:b/>
          <w:bCs/>
          <w:color w:val="404040"/>
          <w:sz w:val="24"/>
          <w:szCs w:val="24"/>
        </w:rPr>
        <w:t xml:space="preserve">Injection URL (HIGH PRIORITY)</w:t>
      </w:r>
    </w:p>
    <w:p>
      <w:pPr>
        <w:spacing w:after="80" w:before="80"/>
      </w:pPr>
    </w:p>
    <w:p>
      <w:pPr>
        <w:spacing w:after="80" w:before="80"/>
      </w:pPr>
    </w:p>
    <w:p>
      <w:pPr>
        <w:pStyle w:val="Heading3"/>
        <w:spacing w:after="60" w:before="180"/>
      </w:pPr>
      <w:r>
        <w:rPr>
          <w:rFonts w:ascii="Arial" w:cs="Arial" w:eastAsia="Arial" w:hAnsi="Arial"/>
          <w:b/>
          <w:bCs/>
          <w:color w:val="404040"/>
          <w:sz w:val="24"/>
          <w:szCs w:val="24"/>
        </w:rPr>
        <w:t xml:space="preserve">C2 IP Addresses</w:t>
      </w:r>
    </w:p>
    <w:p>
      <w:pPr>
        <w:spacing w:after="60" w:before="60"/>
      </w:pPr>
      <w:r>
        <w:rPr>
          <w:rFonts w:ascii="Arial" w:cs="Arial" w:eastAsia="Arial" w:hAnsi="Arial"/>
          <w:sz w:val="22"/>
          <w:szCs w:val="22"/>
        </w:rPr>
        <w:t xml:space="preserve">The following IP addresses were extracted from the stage 2 payload C2 list. These should be blocked at the network perimeter.</w:t>
      </w:r>
    </w:p>
    <w:p>
      <w:pPr>
        <w:spacing w:after="80" w:before="80"/>
      </w:pPr>
    </w:p>
    <w:p>
      <w:pPr>
        <w:spacing w:after="40" w:before="40"/>
        <w:ind w:left="720"/>
      </w:pPr>
      <w:r>
        <w:rPr>
          <w:rFonts w:ascii="Courier New" w:cs="Courier New" w:eastAsia="Courier New" w:hAnsi="Courier New"/>
          <w:color w:val="C7254E"/>
          <w:sz w:val="20"/>
          <w:szCs w:val="20"/>
        </w:rPr>
        <w:t xml:space="preserve">88.132.231.71, 78.139.8.5, 20.99.160.173, 88.153.199.169, 84.147.62.12, 194.154.78.160, 92.211.109.160, 195.74.76.222, 188.105.91.116, 34.105.183.68</w:t>
      </w:r>
    </w:p>
    <w:p>
      <w:pPr>
        <w:spacing w:after="40" w:before="40"/>
        <w:ind w:left="720"/>
      </w:pPr>
      <w:r>
        <w:rPr>
          <w:rFonts w:ascii="Courier New" w:cs="Courier New" w:eastAsia="Courier New" w:hAnsi="Courier New"/>
          <w:color w:val="C7254E"/>
          <w:sz w:val="20"/>
          <w:szCs w:val="20"/>
        </w:rPr>
        <w:t xml:space="preserve">92.211.55.199, 79.104.209.33, 95.25.204.90, 34.145.89.174, 109.74.154.90, 109.145.173.169, 34.141.146.114, 212.119.227.151, 195.239.51.59, 192.40.57.234</w:t>
      </w:r>
    </w:p>
    <w:p>
      <w:pPr>
        <w:spacing w:after="40" w:before="40"/>
        <w:ind w:left="720"/>
      </w:pPr>
      <w:r>
        <w:rPr>
          <w:rFonts w:ascii="Courier New" w:cs="Courier New" w:eastAsia="Courier New" w:hAnsi="Courier New"/>
          <w:color w:val="C7254E"/>
          <w:sz w:val="20"/>
          <w:szCs w:val="20"/>
        </w:rPr>
        <w:t xml:space="preserve">64.124.12.162, 34.142.74.220, 188.105.91.173, 109.74.154.91, 34.105.72.241, 109.74.154.92, 213.33.142.50, 93.216.75.209, 192.87.28.103, 88.132.226.203</w:t>
      </w:r>
    </w:p>
    <w:p>
      <w:pPr>
        <w:spacing w:after="40" w:before="40"/>
        <w:ind w:left="720"/>
      </w:pPr>
      <w:r>
        <w:rPr>
          <w:rFonts w:ascii="Courier New" w:cs="Courier New" w:eastAsia="Courier New" w:hAnsi="Courier New"/>
          <w:color w:val="C7254E"/>
          <w:sz w:val="20"/>
          <w:szCs w:val="20"/>
        </w:rPr>
        <w:t xml:space="preserve">195.181.175.105, 88.132.225.100, 92.211.192.144, 34.83.46.130, 188.105.91.143, 34.85.243.241, 34.141.245.25, 178.239.165.70, 84.147.54.113, 193.128.114.45</w:t>
      </w:r>
    </w:p>
    <w:p>
      <w:pPr>
        <w:spacing w:after="40" w:before="40"/>
        <w:ind w:left="720"/>
      </w:pPr>
      <w:r>
        <w:rPr>
          <w:rFonts w:ascii="Courier New" w:cs="Courier New" w:eastAsia="Courier New" w:hAnsi="Courier New"/>
          <w:color w:val="C7254E"/>
          <w:sz w:val="20"/>
          <w:szCs w:val="20"/>
        </w:rPr>
        <w:t xml:space="preserve">95.25.81.24, 92.211.52.62, 88.132.227.238, 35.199.6.13, 80.211.0.97, 34.85.253.170, 23.128.248.46, 35.229.69.227, 34.138.96.23, 192.211.110.74</w:t>
      </w:r>
    </w:p>
    <w:p>
      <w:pPr>
        <w:spacing w:after="40" w:before="40"/>
        <w:ind w:left="720"/>
      </w:pPr>
      <w:r>
        <w:rPr>
          <w:rFonts w:ascii="Courier New" w:cs="Courier New" w:eastAsia="Courier New" w:hAnsi="Courier New"/>
          <w:color w:val="C7254E"/>
          <w:sz w:val="20"/>
          <w:szCs w:val="20"/>
        </w:rPr>
        <w:t xml:space="preserve">35.237.47.12, 87.166.50.213, 34.253.248.228, 212.119.227.167, 193.225.193.201, 34.145.195.58, 34.105.0.27, 195.239.51.3, 35.192.93.107</w:t>
      </w:r>
    </w:p>
    <w:p>
      <w:pPr>
        <w:spacing w:after="80" w:before="80"/>
      </w:pPr>
    </w:p>
    <w:p>
      <w:pPr>
        <w:pStyle w:val="Heading2"/>
        <w:spacing w:after="80" w:before="240"/>
      </w:pPr>
      <w:r>
        <w:rPr>
          <w:rFonts w:ascii="Arial" w:cs="Arial" w:eastAsia="Arial" w:hAnsi="Arial"/>
          <w:b/>
          <w:bCs/>
          <w:color w:val="2E75B6"/>
          <w:sz w:val="26"/>
          <w:szCs w:val="26"/>
        </w:rPr>
        <w:t xml:space="preserve">5.3 Blacklisted Analysis Process Names</w:t>
      </w:r>
    </w:p>
    <w:p>
      <w:pPr>
        <w:spacing w:after="60" w:before="60"/>
      </w:pPr>
      <w:r>
        <w:rPr>
          <w:rFonts w:ascii="Arial" w:cs="Arial" w:eastAsia="Arial" w:hAnsi="Arial"/>
          <w:sz w:val="22"/>
          <w:szCs w:val="22"/>
        </w:rPr>
        <w:t xml:space="preserve">The malware checks for these process names on startup and terminates silently if any are found running:</w:t>
      </w:r>
    </w:p>
    <w:p>
      <w:pPr>
        <w:spacing w:after="80" w:before="80"/>
      </w:pPr>
    </w:p>
    <w:p>
      <w:pPr>
        <w:spacing w:after="40" w:before="40"/>
        <w:ind w:left="720"/>
      </w:pPr>
      <w:r>
        <w:rPr>
          <w:rFonts w:ascii="Courier New" w:cs="Courier New" w:eastAsia="Courier New" w:hAnsi="Courier New"/>
          <w:color w:val="C7254E"/>
          <w:sz w:val="20"/>
          <w:szCs w:val="20"/>
        </w:rPr>
        <w:t xml:space="preserve">httpdebuggerui, wireshark, fiddler, regedit, taskmgr, vboxservice, df5serv</w:t>
      </w:r>
    </w:p>
    <w:p>
      <w:pPr>
        <w:spacing w:after="40" w:before="40"/>
        <w:ind w:left="720"/>
      </w:pPr>
      <w:r>
        <w:rPr>
          <w:rFonts w:ascii="Courier New" w:cs="Courier New" w:eastAsia="Courier New" w:hAnsi="Courier New"/>
          <w:color w:val="C7254E"/>
          <w:sz w:val="20"/>
          <w:szCs w:val="20"/>
        </w:rPr>
        <w:t xml:space="preserve">processhacker, vboxtray, vmtools, vmwareuser, vgauthservice, vmacthlp, x96dbg</w:t>
      </w:r>
    </w:p>
    <w:p>
      <w:pPr>
        <w:spacing w:after="40" w:before="40"/>
        <w:ind w:left="720"/>
      </w:pPr>
      <w:r>
        <w:rPr>
          <w:rFonts w:ascii="Courier New" w:cs="Courier New" w:eastAsia="Courier New" w:hAnsi="Courier New"/>
          <w:color w:val="C7254E"/>
          <w:sz w:val="20"/>
          <w:szCs w:val="20"/>
        </w:rPr>
        <w:t xml:space="preserve">vmsrvc, x32dbg, vmwaretray, prl_cc, prl_tools, xenservice, qemu-ga</w:t>
      </w:r>
    </w:p>
    <w:p>
      <w:pPr>
        <w:spacing w:after="40" w:before="40"/>
        <w:ind w:left="720"/>
      </w:pPr>
      <w:r>
        <w:rPr>
          <w:rFonts w:ascii="Courier New" w:cs="Courier New" w:eastAsia="Courier New" w:hAnsi="Courier New"/>
          <w:color w:val="C7254E"/>
          <w:sz w:val="20"/>
          <w:szCs w:val="20"/>
        </w:rPr>
        <w:t xml:space="preserve">joebocontrol, ksdupmerclient, ksduper, joeboserver, ollydbg, pestudio</w:t>
      </w:r>
    </w:p>
    <w:p>
      <w:pPr>
        <w:spacing w:after="40" w:before="40"/>
        <w:ind w:left="720"/>
      </w:pPr>
      <w:r>
        <w:rPr>
          <w:rFonts w:ascii="Courier New" w:cs="Courier New" w:eastAsia="Courier New" w:hAnsi="Courier New"/>
          <w:color w:val="C7254E"/>
          <w:sz w:val="20"/>
          <w:szCs w:val="20"/>
        </w:rPr>
        <w:t xml:space="preserve">vboxheartbeat, idax64, vboxheartbeat, vmtoolsd</w:t>
      </w:r>
    </w:p>
    <w:p>
      <w:pPr>
        <w:spacing w:after="80" w:before="80"/>
      </w:pPr>
    </w:p>
    <w:p>
      <w:pPr>
        <w:pStyle w:val="Heading2"/>
        <w:spacing w:after="80" w:before="240"/>
      </w:pPr>
      <w:r>
        <w:rPr>
          <w:rFonts w:ascii="Arial" w:cs="Arial" w:eastAsia="Arial" w:hAnsi="Arial"/>
          <w:b/>
          <w:bCs/>
          <w:color w:val="2E75B6"/>
          <w:sz w:val="26"/>
          <w:szCs w:val="26"/>
        </w:rPr>
        <w:t xml:space="preserve">5.4 YARA Detection Opportunities</w:t>
      </w:r>
    </w:p>
    <w:p>
      <w:pPr>
        <w:spacing w:after="60" w:before="60"/>
      </w:pPr>
      <w:r>
        <w:rPr>
          <w:rFonts w:ascii="Arial" w:cs="Arial" w:eastAsia="Arial" w:hAnsi="Arial"/>
          <w:sz w:val="22"/>
          <w:szCs w:val="22"/>
        </w:rPr>
        <w:t xml:space="preserve">The following characteristics provide reliable YARA detection anchors:</w:t>
      </w:r>
    </w:p>
    <w:p>
      <w:pPr>
        <w:spacing w:after="80" w:before="80"/>
      </w:pPr>
    </w:p>
    <w:p>
      <w:pPr>
        <w:pStyle w:val="ListParagraph"/>
        <w:numPr>
          <w:ilvl w:val="0"/>
          <w:numId w:val="2"/>
        </w:numPr>
        <w:spacing w:after="40" w:before="40"/>
      </w:pPr>
      <w:r>
        <w:rPr>
          <w:rFonts w:ascii="Arial" w:cs="Arial" w:eastAsia="Arial" w:hAnsi="Arial"/>
          <w:sz w:val="22"/>
          <w:szCs w:val="22"/>
        </w:rPr>
        <w:t xml:space="preserve">Both samples share identical imphash: f3c0dbc597607baa2ea891bc3a114b19</w:t>
      </w:r>
    </w:p>
    <w:p>
      <w:pPr>
        <w:pStyle w:val="ListParagraph"/>
        <w:numPr>
          <w:ilvl w:val="0"/>
          <w:numId w:val="2"/>
        </w:numPr>
        <w:spacing w:after="40" w:before="40"/>
      </w:pPr>
      <w:r>
        <w:rPr>
          <w:rFonts w:ascii="Arial" w:cs="Arial" w:eastAsia="Arial" w:hAnsi="Arial"/>
          <w:sz w:val="22"/>
          <w:szCs w:val="22"/>
        </w:rPr>
        <w:t xml:space="preserve">PE section .fptable (PyInstaller frozen module table) at consistent offset</w:t>
      </w:r>
    </w:p>
    <w:p>
      <w:pPr>
        <w:pStyle w:val="ListParagraph"/>
        <w:numPr>
          <w:ilvl w:val="0"/>
          <w:numId w:val="2"/>
        </w:numPr>
        <w:spacing w:after="40" w:before="40"/>
      </w:pPr>
      <w:r>
        <w:rPr>
          <w:rFonts w:ascii="Arial" w:cs="Arial" w:eastAsia="Arial" w:hAnsi="Arial"/>
          <w:sz w:val="22"/>
          <w:szCs w:val="22"/>
        </w:rPr>
        <w:t xml:space="preserve">Tcl_CreateThread import present in both samples</w:t>
      </w:r>
    </w:p>
    <w:p>
      <w:pPr>
        <w:pStyle w:val="ListParagraph"/>
        <w:numPr>
          <w:ilvl w:val="0"/>
          <w:numId w:val="2"/>
        </w:numPr>
        <w:spacing w:after="40" w:before="40"/>
      </w:pPr>
      <w:r>
        <w:rPr>
          <w:rFonts w:ascii="Arial" w:cs="Arial" w:eastAsia="Arial" w:hAnsi="Arial"/>
          <w:sz w:val="22"/>
          <w:szCs w:val="22"/>
        </w:rPr>
        <w:t xml:space="preserve">String: ping localhost -n 3 &gt; NUL &amp;&amp; del /F (self-destruct command)</w:t>
      </w:r>
    </w:p>
    <w:p>
      <w:pPr>
        <w:pStyle w:val="ListParagraph"/>
        <w:numPr>
          <w:ilvl w:val="0"/>
          <w:numId w:val="2"/>
        </w:numPr>
        <w:spacing w:after="40" w:before="40"/>
      </w:pPr>
      <w:r>
        <w:rPr>
          <w:rFonts w:ascii="Arial" w:cs="Arial" w:eastAsia="Arial" w:hAnsi="Arial"/>
          <w:sz w:val="22"/>
          <w:szCs w:val="22"/>
        </w:rPr>
        <w:t xml:space="preserve">String: luna-injection (injection repo reference in stage 2)</w:t>
      </w:r>
    </w:p>
    <w:p>
      <w:pPr>
        <w:pStyle w:val="ListParagraph"/>
        <w:numPr>
          <w:ilvl w:val="0"/>
          <w:numId w:val="2"/>
        </w:numPr>
        <w:spacing w:after="40" w:before="40"/>
      </w:pPr>
      <w:r>
        <w:rPr>
          <w:rFonts w:ascii="Arial" w:cs="Arial" w:eastAsia="Arial" w:hAnsi="Arial"/>
          <w:sz w:val="22"/>
          <w:szCs w:val="22"/>
        </w:rPr>
        <w:t xml:space="preserve">String: .ROBLOSECURITY= (Roblox cookie targeting)</w:t>
      </w:r>
    </w:p>
    <w:p>
      <w:pPr>
        <w:pStyle w:val="ListParagraph"/>
        <w:numPr>
          <w:ilvl w:val="0"/>
          <w:numId w:val="2"/>
        </w:numPr>
        <w:spacing w:after="40" w:before="40"/>
      </w:pPr>
      <w:r>
        <w:rPr>
          <w:rFonts w:ascii="Arial" w:cs="Arial" w:eastAsia="Arial" w:hAnsi="Arial"/>
          <w:sz w:val="22"/>
          <w:szCs w:val="22"/>
        </w:rPr>
        <w:t xml:space="preserve">String: discord_desktop_core (Discord injection target)</w:t>
      </w:r>
    </w:p>
    <w:p>
      <w:pPr>
        <w:spacing w:after="80" w:before="80"/>
      </w:pPr>
    </w:p>
    <w:p>
      <w:r>
        <w:br w:type="page"/>
      </w:r>
    </w:p>
    <w:p>
      <w:pPr>
        <w:pStyle w:val="Heading1"/>
        <w:spacing w:after="120" w:before="360"/>
      </w:pPr>
      <w:r>
        <w:rPr>
          <w:rFonts w:ascii="Arial" w:cs="Arial" w:eastAsia="Arial" w:hAnsi="Arial"/>
          <w:b/>
          <w:bCs/>
          <w:color w:val="1F4E79"/>
          <w:sz w:val="32"/>
          <w:szCs w:val="32"/>
        </w:rPr>
        <w:t xml:space="preserve">6. Campaign Timeline</w:t>
      </w:r>
    </w:p>
    <w:p>
      <w:pPr>
        <w:pBdr>
          <w:bottom w:val="single" w:color="2E75B6" w:sz="4" w:space="1"/>
        </w:pBdr>
        <w:spacing w:after="120" w:before="120"/>
      </w:pPr>
    </w:p>
    <w:p>
      <w:pPr>
        <w:spacing w:after="8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2000"/>
        <w:gridCol w:w="5360"/>
      </w:tblGrid>
      <w:tr>
        <w:tc>
          <w:tcPr>
            <w:tcW w:type="dxa" w:w="200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Date</w:t>
            </w:r>
          </w:p>
        </w:tc>
        <w:tc>
          <w:tcPr>
            <w:tcW w:type="dxa" w:w="200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Sample</w:t>
            </w:r>
          </w:p>
        </w:tc>
        <w:tc>
          <w:tcPr>
            <w:tcW w:type="dxa" w:w="536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Event</w:t>
            </w:r>
          </w:p>
        </w:tc>
      </w:tr>
      <w:tr>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2025-12-01</w:t>
            </w:r>
          </w:p>
        </w:tc>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sdas.exe</w:t>
            </w:r>
          </w:p>
        </w:tc>
        <w:tc>
          <w:tcPr>
            <w:tcW w:type="dxa" w:w="53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Sample 1 compiled (PE timestamp 15:00:24 UTC)</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2025-12-01</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sdas.exe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First seen on MalwareBazaar, VirusTotal, Hybrid Analysis</w:t>
            </w:r>
          </w:p>
        </w:tc>
      </w:tr>
      <w:tr>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2026-01-03</w:t>
            </w:r>
          </w:p>
        </w:tc>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loader.exe</w:t>
            </w:r>
          </w:p>
        </w:tc>
        <w:tc>
          <w:tcPr>
            <w:tcW w:type="dxa" w:w="53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Sample 2 compiled (PE timestamp 03:47:13 UTC)</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2026-01-03</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loader.exe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First seen on MalwareBazaar and VirusTotal</w:t>
            </w:r>
          </w:p>
        </w:tc>
      </w:tr>
      <w:tr>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2026-01-04</w:t>
            </w:r>
          </w:p>
        </w:tc>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loader.exe</w:t>
            </w:r>
          </w:p>
        </w:tc>
        <w:tc>
          <w:tcPr>
            <w:tcW w:type="dxa" w:w="53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Triage sandbox report published — clustered with BlankGrabber, GlassWorm, IcedID, Luca-Stealer</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2026-01-05</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loader.exe</w:t>
            </w:r>
          </w:p>
        </w:tc>
        <w:tc>
          <w:tcPr>
            <w:tcW w:type="dxa" w:w="5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Courier New" w:cs="Courier New" w:eastAsia="Courier New" w:hAnsi="Courier New"/>
                <w:sz w:val="20"/>
                <w:szCs w:val="20"/>
              </w:rPr>
              <w:t xml:space="preserve">MetaDefender detection added</w:t>
            </w:r>
          </w:p>
        </w:tc>
      </w:tr>
      <w:tr>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2026-05-02</w:t>
            </w:r>
          </w:p>
        </w:tc>
        <w:tc>
          <w:tcPr>
            <w:tcW w:type="dxa" w:w="20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Both</w:t>
            </w:r>
          </w:p>
        </w:tc>
        <w:tc>
          <w:tcPr>
            <w:tcW w:type="dxa" w:w="53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Courier New" w:cs="Courier New" w:eastAsia="Courier New" w:hAnsi="Courier New"/>
                <w:sz w:val="20"/>
                <w:szCs w:val="20"/>
              </w:rPr>
              <w:t xml:space="preserve">Analysis conducted by Baker Street Forensics / Magnet Forensics</w:t>
            </w:r>
          </w:p>
        </w:tc>
      </w:tr>
    </w:tbl>
    <w:p>
      <w:pPr>
        <w:spacing w:after="80" w:before="80"/>
      </w:pPr>
    </w:p>
    <w:p>
      <w:r>
        <w:br w:type="page"/>
      </w:r>
    </w:p>
    <w:p>
      <w:pPr>
        <w:pStyle w:val="Heading1"/>
        <w:spacing w:after="120" w:before="360"/>
      </w:pPr>
      <w:r>
        <w:rPr>
          <w:rFonts w:ascii="Arial" w:cs="Arial" w:eastAsia="Arial" w:hAnsi="Arial"/>
          <w:b/>
          <w:bCs/>
          <w:color w:val="1F4E79"/>
          <w:sz w:val="32"/>
          <w:szCs w:val="32"/>
        </w:rPr>
        <w:t xml:space="preserve">7. Tools &amp; Analysis Environment</w:t>
      </w:r>
    </w:p>
    <w:p>
      <w:pPr>
        <w:pBdr>
          <w:bottom w:val="single" w:color="2E75B6" w:sz="4" w:space="1"/>
        </w:pBdr>
        <w:spacing w:after="120" w:before="120"/>
      </w:pPr>
    </w:p>
    <w:p>
      <w:pPr>
        <w:spacing w:after="8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6560"/>
      </w:tblGrid>
      <w:tr>
        <w:tc>
          <w:tcPr>
            <w:tcW w:type="dxa" w:w="280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Tool</w:t>
            </w:r>
          </w:p>
        </w:tc>
        <w:tc>
          <w:tcPr>
            <w:tcW w:type="dxa" w:w="6560"/>
            <w:tcBorders>
              <w:top w:val="single" w:color="1F4E79" w:sz="1"/>
              <w:left w:val="single" w:color="1F4E79" w:sz="1"/>
              <w:bottom w:val="single" w:color="1F4E79" w:sz="1"/>
              <w:right w:val="single" w:color="1F4E79"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Purpose</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MalChela (tiquery)</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sz w:val="20"/>
                <w:szCs w:val="20"/>
              </w:rPr>
              <w:t xml:space="preserve">Multi-source threat intelligence hash lookup (MalwareBazaar, VirusTotal, Hybrid Analysis, MetaDefender, Triage)</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MalChela (fileanalyzer)</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Static PE analysis — hashes, entropy, section layout, imports, packing detection</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MalChela (mstrings)</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sz w:val="20"/>
                <w:szCs w:val="20"/>
              </w:rPr>
              <w:t xml:space="preserve">String extraction with MITRE ATT&amp;CK mapping and IOC detection</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pyinstxtractor-ng</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PyInstaller archive extraction to recover bundled Python modules and entry point pyc files</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pycdc (Decompyle++)</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sz w:val="20"/>
                <w:szCs w:val="20"/>
              </w:rPr>
              <w:t xml:space="preserve">Python bytecode decompilation supporting Python 3.11 and 3.13</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Python 3.9 (lzma)</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LZMA stage 2 payload extraction from embedded binary blob</w:t>
            </w:r>
          </w:p>
        </w:tc>
      </w:tr>
      <w:tr>
        <w:tc>
          <w:tcPr>
            <w:tcW w:type="dxa" w:w="280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b/>
                <w:bCs/>
                <w:sz w:val="20"/>
                <w:szCs w:val="20"/>
              </w:rPr>
              <w:t xml:space="preserve">MalChela MCP Plugin</w:t>
            </w:r>
          </w:p>
        </w:tc>
        <w:tc>
          <w:tcPr>
            <w:tcW w:type="dxa" w:w="6560"/>
            <w:tcBorders>
              <w:top w:val="single" w:color="CCCCCC" w:sz="1"/>
              <w:left w:val="single" w:color="CCCCCC" w:sz="1"/>
              <w:bottom w:val="single" w:color="CCCCCC" w:sz="1"/>
              <w:right w:val="single" w:color="CCCCCC" w:sz="1"/>
            </w:tcBorders>
            <w:shd w:fill="F5F8FA" w:val="clear"/>
            <w:tcMar>
              <w:top w:type="dxa" w:w="80"/>
              <w:left w:type="dxa" w:w="120"/>
              <w:bottom w:type="dxa" w:w="80"/>
              <w:right w:type="dxa" w:w="120"/>
            </w:tcMar>
          </w:tcPr>
          <w:p>
            <w:r>
              <w:rPr>
                <w:rFonts w:ascii="Arial" w:cs="Arial" w:eastAsia="Arial" w:hAnsi="Arial"/>
                <w:sz w:val="20"/>
                <w:szCs w:val="20"/>
              </w:rPr>
              <w:t xml:space="preserve">Claude Desktop integration — tools invoked directly within the analysis session</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b/>
                <w:bCs/>
                <w:sz w:val="20"/>
                <w:szCs w:val="20"/>
              </w:rPr>
              <w:t xml:space="preserve">Claude Desktop</w:t>
            </w:r>
          </w:p>
        </w:tc>
        <w:tc>
          <w:tcPr>
            <w:tcW w:type="dxa" w:w="6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AI-assisted analysis orchestration and pivot identification</w:t>
            </w:r>
          </w:p>
        </w:tc>
      </w:tr>
    </w:tbl>
    <w:p>
      <w:pPr>
        <w:spacing w:after="80" w:before="80"/>
      </w:pPr>
    </w:p>
    <w:p>
      <w:pPr>
        <w:pStyle w:val="Heading1"/>
        <w:spacing w:after="120" w:before="360"/>
      </w:pPr>
      <w:r>
        <w:rPr>
          <w:rFonts w:ascii="Arial" w:cs="Arial" w:eastAsia="Arial" w:hAnsi="Arial"/>
          <w:b/>
          <w:bCs/>
          <w:color w:val="1F4E79"/>
          <w:sz w:val="32"/>
          <w:szCs w:val="32"/>
        </w:rPr>
        <w:t xml:space="preserve">8. Recommendations</w:t>
      </w:r>
    </w:p>
    <w:p>
      <w:pPr>
        <w:pBdr>
          <w:bottom w:val="single" w:color="2E75B6" w:sz="4" w:space="1"/>
        </w:pBdr>
        <w:spacing w:after="120" w:before="120"/>
      </w:pPr>
    </w:p>
    <w:p>
      <w:pPr>
        <w:pStyle w:val="Heading2"/>
        <w:spacing w:after="80" w:before="240"/>
      </w:pPr>
      <w:r>
        <w:rPr>
          <w:rFonts w:ascii="Arial" w:cs="Arial" w:eastAsia="Arial" w:hAnsi="Arial"/>
          <w:b/>
          <w:bCs/>
          <w:color w:val="2E75B6"/>
          <w:sz w:val="26"/>
          <w:szCs w:val="26"/>
        </w:rPr>
        <w:t xml:space="preserve">8.1 Detection &amp; Blocking</w:t>
      </w:r>
    </w:p>
    <w:p>
      <w:pPr>
        <w:pStyle w:val="ListParagraph"/>
        <w:numPr>
          <w:ilvl w:val="0"/>
          <w:numId w:val="2"/>
        </w:numPr>
        <w:spacing w:after="40" w:before="40"/>
      </w:pPr>
      <w:r>
        <w:rPr>
          <w:rFonts w:ascii="Arial" w:cs="Arial" w:eastAsia="Arial" w:hAnsi="Arial"/>
          <w:sz w:val="22"/>
          <w:szCs w:val="22"/>
        </w:rPr>
        <w:t xml:space="preserve">Block outbound connections to the GitHub raw URL: raw.githubusercontent.com/Smug246/luna-injection/</w:t>
      </w:r>
    </w:p>
    <w:p>
      <w:pPr>
        <w:pStyle w:val="ListParagraph"/>
        <w:numPr>
          <w:ilvl w:val="0"/>
          <w:numId w:val="2"/>
        </w:numPr>
        <w:spacing w:after="40" w:before="40"/>
      </w:pPr>
      <w:r>
        <w:rPr>
          <w:rFonts w:ascii="Arial" w:cs="Arial" w:eastAsia="Arial" w:hAnsi="Arial"/>
          <w:sz w:val="22"/>
          <w:szCs w:val="22"/>
        </w:rPr>
        <w:t xml:space="preserve">Add all C2 IPs from Section 5.2 to network blocklists</w:t>
      </w:r>
    </w:p>
    <w:p>
      <w:pPr>
        <w:pStyle w:val="ListParagraph"/>
        <w:numPr>
          <w:ilvl w:val="0"/>
          <w:numId w:val="2"/>
        </w:numPr>
        <w:spacing w:after="40" w:before="40"/>
      </w:pPr>
      <w:r>
        <w:rPr>
          <w:rFonts w:ascii="Arial" w:cs="Arial" w:eastAsia="Arial" w:hAnsi="Arial"/>
          <w:sz w:val="22"/>
          <w:szCs w:val="22"/>
        </w:rPr>
        <w:t xml:space="preserve">Deploy YARA rules based on the imphash, .fptable section, and string indicators from Section 5.4</w:t>
      </w:r>
    </w:p>
    <w:p>
      <w:pPr>
        <w:pStyle w:val="ListParagraph"/>
        <w:numPr>
          <w:ilvl w:val="0"/>
          <w:numId w:val="2"/>
        </w:numPr>
        <w:spacing w:after="40" w:before="40"/>
      </w:pPr>
      <w:r>
        <w:rPr>
          <w:rFonts w:ascii="Arial" w:cs="Arial" w:eastAsia="Arial" w:hAnsi="Arial"/>
          <w:sz w:val="22"/>
          <w:szCs w:val="22"/>
        </w:rPr>
        <w:t xml:space="preserve">Alert on process creation of ping followed by del /F within 5 seconds (self-destruct pattern)</w:t>
      </w:r>
    </w:p>
    <w:p>
      <w:pPr>
        <w:spacing w:after="80" w:before="80"/>
      </w:pPr>
    </w:p>
    <w:p>
      <w:pPr>
        <w:pStyle w:val="Heading2"/>
        <w:spacing w:after="80" w:before="240"/>
      </w:pPr>
      <w:r>
        <w:rPr>
          <w:rFonts w:ascii="Arial" w:cs="Arial" w:eastAsia="Arial" w:hAnsi="Arial"/>
          <w:b/>
          <w:bCs/>
          <w:color w:val="2E75B6"/>
          <w:sz w:val="26"/>
          <w:szCs w:val="26"/>
        </w:rPr>
        <w:t xml:space="preserve">8.2 Incident Response</w:t>
      </w:r>
    </w:p>
    <w:p>
      <w:pPr>
        <w:pStyle w:val="ListParagraph"/>
        <w:numPr>
          <w:ilvl w:val="0"/>
          <w:numId w:val="2"/>
        </w:numPr>
        <w:spacing w:after="40" w:before="40"/>
      </w:pPr>
      <w:r>
        <w:rPr>
          <w:rFonts w:ascii="Arial" w:cs="Arial" w:eastAsia="Arial" w:hAnsi="Arial"/>
          <w:sz w:val="22"/>
          <w:szCs w:val="22"/>
        </w:rPr>
        <w:t xml:space="preserve">On suspected infection: immediately revoke and regenerate all Discord tokens</w:t>
      </w:r>
    </w:p>
    <w:p>
      <w:pPr>
        <w:pStyle w:val="ListParagraph"/>
        <w:numPr>
          <w:ilvl w:val="0"/>
          <w:numId w:val="2"/>
        </w:numPr>
        <w:spacing w:after="40" w:before="40"/>
      </w:pPr>
      <w:r>
        <w:rPr>
          <w:rFonts w:ascii="Arial" w:cs="Arial" w:eastAsia="Arial" w:hAnsi="Arial"/>
          <w:sz w:val="22"/>
          <w:szCs w:val="22"/>
        </w:rPr>
        <w:t xml:space="preserve">Audit browser saved credentials, cookies, and payment methods — treat all as compromised</w:t>
      </w:r>
    </w:p>
    <w:p>
      <w:pPr>
        <w:pStyle w:val="ListParagraph"/>
        <w:numPr>
          <w:ilvl w:val="0"/>
          <w:numId w:val="2"/>
        </w:numPr>
        <w:spacing w:after="40" w:before="40"/>
      </w:pPr>
      <w:r>
        <w:rPr>
          <w:rFonts w:ascii="Arial" w:cs="Arial" w:eastAsia="Arial" w:hAnsi="Arial"/>
          <w:sz w:val="22"/>
          <w:szCs w:val="22"/>
        </w:rPr>
        <w:t xml:space="preserve">Check for modified discord_desktop_core files in Discord AppData directory</w:t>
      </w:r>
    </w:p>
    <w:p>
      <w:pPr>
        <w:pStyle w:val="ListParagraph"/>
        <w:numPr>
          <w:ilvl w:val="0"/>
          <w:numId w:val="2"/>
        </w:numPr>
        <w:spacing w:after="40" w:before="40"/>
      </w:pPr>
      <w:r>
        <w:rPr>
          <w:rFonts w:ascii="Arial" w:cs="Arial" w:eastAsia="Arial" w:hAnsi="Arial"/>
          <w:sz w:val="22"/>
          <w:szCs w:val="22"/>
        </w:rPr>
        <w:t xml:space="preserve">Check startup locations and scheduled tasks for persistence mechanisms</w:t>
      </w:r>
    </w:p>
    <w:p>
      <w:pPr>
        <w:pStyle w:val="ListParagraph"/>
        <w:numPr>
          <w:ilvl w:val="0"/>
          <w:numId w:val="2"/>
        </w:numPr>
        <w:spacing w:after="40" w:before="40"/>
      </w:pPr>
      <w:r>
        <w:rPr>
          <w:rFonts w:ascii="Arial" w:cs="Arial" w:eastAsia="Arial" w:hAnsi="Arial"/>
          <w:sz w:val="22"/>
          <w:szCs w:val="22"/>
        </w:rPr>
        <w:t xml:space="preserve">Review network logs for outbound connections to C2 IP list</w:t>
      </w:r>
    </w:p>
    <w:p>
      <w:pPr>
        <w:spacing w:after="80" w:before="80"/>
      </w:pPr>
    </w:p>
    <w:p>
      <w:pPr>
        <w:pStyle w:val="Heading2"/>
        <w:spacing w:after="80" w:before="240"/>
      </w:pPr>
      <w:r>
        <w:rPr>
          <w:rFonts w:ascii="Arial" w:cs="Arial" w:eastAsia="Arial" w:hAnsi="Arial"/>
          <w:b/>
          <w:bCs/>
          <w:color w:val="2E75B6"/>
          <w:sz w:val="26"/>
          <w:szCs w:val="26"/>
        </w:rPr>
        <w:t xml:space="preserve">8.3 Reporting</w:t>
      </w:r>
    </w:p>
    <w:p>
      <w:pPr>
        <w:pStyle w:val="ListParagraph"/>
        <w:numPr>
          <w:ilvl w:val="0"/>
          <w:numId w:val="2"/>
        </w:numPr>
        <w:spacing w:after="40" w:before="40"/>
      </w:pPr>
      <w:r>
        <w:rPr>
          <w:rFonts w:ascii="Arial" w:cs="Arial" w:eastAsia="Arial" w:hAnsi="Arial"/>
          <w:sz w:val="22"/>
          <w:szCs w:val="22"/>
        </w:rPr>
        <w:t xml:space="preserve">Report the GitHub repository (Smug246/luna-injection) to GitHub Trust &amp; Safety for takedown</w:t>
      </w:r>
    </w:p>
    <w:p>
      <w:pPr>
        <w:pStyle w:val="ListParagraph"/>
        <w:numPr>
          <w:ilvl w:val="0"/>
          <w:numId w:val="2"/>
        </w:numPr>
        <w:spacing w:after="40" w:before="40"/>
      </w:pPr>
      <w:r>
        <w:rPr>
          <w:rFonts w:ascii="Arial" w:cs="Arial" w:eastAsia="Arial" w:hAnsi="Arial"/>
          <w:sz w:val="22"/>
          <w:szCs w:val="22"/>
        </w:rPr>
        <w:t xml:space="preserve">Submit samples to any TI platforms not yet covered</w:t>
      </w:r>
    </w:p>
    <w:p>
      <w:pPr>
        <w:spacing w:after="80" w:before="80"/>
      </w:pPr>
    </w:p>
    <w:p>
      <w:pPr>
        <w:pBdr>
          <w:bottom w:val="single" w:color="2E75B6" w:sz="4" w:space="1"/>
        </w:pBdr>
        <w:spacing w:after="120" w:before="120"/>
      </w:pPr>
    </w:p>
    <w:p>
      <w:pPr>
        <w:spacing w:after="0" w:before="120"/>
        <w:jc w:val="center"/>
      </w:pPr>
      <w:r>
        <w:rPr>
          <w:rFonts w:ascii="Arial" w:cs="Arial" w:eastAsia="Arial" w:hAnsi="Arial"/>
          <w:i/>
          <w:iCs/>
          <w:color w:val="888888"/>
          <w:sz w:val="18"/>
          <w:szCs w:val="18"/>
        </w:rPr>
        <w:t xml:space="preserve">Baker Street Forensics — bakerstreetforensics.com — TLP:WHITE</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108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F4E79"/>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75B6"/>
      <w:sz w:val="26"/>
      <w:szCs w:val="26"/>
    </w:rPr>
  </w:style>
  <w:style w:type="paragraph" w:styleId="Heading3">
    <w:name w:val="Heading 3"/>
    <w:basedOn w:val="Normal"/>
    <w:next w:val="Normal"/>
    <w:qFormat/>
    <w:pPr>
      <w:spacing w:after="60" w:before="18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2026-05-02T16:32:04.488Z</dcterms:created>
  <dcterms:modified xsi:type="dcterms:W3CDTF">2026-05-02T16:32:04.488Z</dcterms:modified>
</cp:coreProperties>
</file>

<file path=docProps/custom.xml><?xml version="1.0" encoding="utf-8"?>
<Properties xmlns="http://schemas.openxmlformats.org/officeDocument/2006/custom-properties" xmlns:vt="http://schemas.openxmlformats.org/officeDocument/2006/docPropsVTypes"/>
</file>